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2210" w14:textId="6F59B3B9" w:rsidR="004C2416" w:rsidRPr="004C2416" w:rsidRDefault="004C2416" w:rsidP="004C2416">
      <w:pPr>
        <w:pStyle w:val="Zaczniknagwek"/>
      </w:pPr>
      <w:r>
        <w:t>Załącznik Nr 2</w:t>
      </w:r>
    </w:p>
    <w:p w14:paraId="19B072D7" w14:textId="75988484" w:rsidR="004C2416" w:rsidRDefault="004C2416" w:rsidP="0024546E">
      <w:pPr>
        <w:pStyle w:val="Pogrubiony"/>
      </w:pPr>
      <w:r>
        <w:t>Tabela wysokości pożyczek na cele mieszkaniowe</w:t>
      </w:r>
    </w:p>
    <w:p w14:paraId="270C38A2" w14:textId="721A1670" w:rsidR="004C2416" w:rsidRPr="0024546E" w:rsidRDefault="004C2416" w:rsidP="0024546E">
      <w:pPr>
        <w:pStyle w:val="Pogrubiony"/>
        <w:rPr>
          <w:sz w:val="28"/>
        </w:rPr>
      </w:pPr>
      <w:r>
        <w:t>z Zakładowego Funduszu Świadczeń Socjalnych</w:t>
      </w:r>
    </w:p>
    <w:tbl>
      <w:tblPr>
        <w:tblW w:w="10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521"/>
        <w:gridCol w:w="4337"/>
      </w:tblGrid>
      <w:tr w:rsidR="004C2416" w14:paraId="0C41C4F6" w14:textId="77777777" w:rsidTr="008A2B1C">
        <w:trPr>
          <w:trHeight w:val="784"/>
        </w:trPr>
        <w:tc>
          <w:tcPr>
            <w:tcW w:w="566" w:type="dxa"/>
          </w:tcPr>
          <w:p w14:paraId="1AE56AD5" w14:textId="77777777" w:rsidR="004C2416" w:rsidRPr="0024546E" w:rsidRDefault="004C2416" w:rsidP="0024546E">
            <w:pPr>
              <w:pStyle w:val="Tabela"/>
            </w:pPr>
            <w:bookmarkStart w:id="0" w:name="_GoBack"/>
            <w:r w:rsidRPr="0024546E">
              <w:t>lp</w:t>
            </w:r>
          </w:p>
        </w:tc>
        <w:tc>
          <w:tcPr>
            <w:tcW w:w="5521" w:type="dxa"/>
          </w:tcPr>
          <w:p w14:paraId="2E477713" w14:textId="77777777" w:rsidR="004C2416" w:rsidRPr="0024546E" w:rsidRDefault="004C2416" w:rsidP="0024546E">
            <w:pPr>
              <w:pStyle w:val="Tabela"/>
            </w:pPr>
            <w:r w:rsidRPr="0024546E">
              <w:t>Rodzaj pożyczki</w:t>
            </w:r>
          </w:p>
          <w:p w14:paraId="06AFE98D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6FD6532C" w14:textId="77777777" w:rsidR="004C2416" w:rsidRPr="0024546E" w:rsidRDefault="004C2416" w:rsidP="0024546E">
            <w:pPr>
              <w:pStyle w:val="Tabela"/>
            </w:pPr>
            <w:r w:rsidRPr="0024546E">
              <w:t>Wysokość pożyczki</w:t>
            </w:r>
          </w:p>
        </w:tc>
      </w:tr>
      <w:tr w:rsidR="004C2416" w14:paraId="09F586EF" w14:textId="77777777" w:rsidTr="008A2B1C">
        <w:trPr>
          <w:trHeight w:val="1161"/>
        </w:trPr>
        <w:tc>
          <w:tcPr>
            <w:tcW w:w="566" w:type="dxa"/>
          </w:tcPr>
          <w:p w14:paraId="3F97F325" w14:textId="77777777" w:rsidR="004C2416" w:rsidRPr="0024546E" w:rsidRDefault="004C2416" w:rsidP="0024546E">
            <w:pPr>
              <w:pStyle w:val="Tabela"/>
            </w:pPr>
            <w:r w:rsidRPr="0024546E">
              <w:t>1.</w:t>
            </w:r>
          </w:p>
        </w:tc>
        <w:tc>
          <w:tcPr>
            <w:tcW w:w="5521" w:type="dxa"/>
          </w:tcPr>
          <w:p w14:paraId="124E7C4D" w14:textId="7CA2F8E4" w:rsidR="004C2416" w:rsidRPr="0024546E" w:rsidRDefault="004C2416" w:rsidP="0024546E">
            <w:pPr>
              <w:pStyle w:val="Tabela"/>
            </w:pPr>
            <w:r w:rsidRPr="0024546E">
              <w:t xml:space="preserve">Budowa domu jednorodzinnego lub lokalu </w:t>
            </w:r>
          </w:p>
          <w:p w14:paraId="6803543C" w14:textId="77777777" w:rsidR="004C2416" w:rsidRPr="0024546E" w:rsidRDefault="004C2416" w:rsidP="0024546E">
            <w:pPr>
              <w:pStyle w:val="Tabela"/>
            </w:pPr>
            <w:r w:rsidRPr="0024546E">
              <w:t>mieszkalnego w domu wielorodzinnym</w:t>
            </w:r>
          </w:p>
          <w:p w14:paraId="010BAF6D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47E9AFB9" w14:textId="3F1C50AF" w:rsidR="004C2416" w:rsidRPr="0024546E" w:rsidRDefault="004C2416" w:rsidP="0024546E">
            <w:pPr>
              <w:pStyle w:val="Tabela"/>
            </w:pPr>
            <w:r w:rsidRPr="0024546E">
              <w:t>do 25 % wartości kosztorysowej,</w:t>
            </w:r>
          </w:p>
          <w:p w14:paraId="306B96AA" w14:textId="730A4876" w:rsidR="004C2416" w:rsidRPr="0024546E" w:rsidRDefault="004C2416" w:rsidP="0024546E">
            <w:pPr>
              <w:pStyle w:val="Tabela"/>
            </w:pPr>
            <w:r w:rsidRPr="0024546E">
              <w:t>nie więcej niż 40.000 zł</w:t>
            </w:r>
          </w:p>
          <w:p w14:paraId="6B071675" w14:textId="13C2DDF9" w:rsidR="004C2416" w:rsidRPr="0024546E" w:rsidRDefault="004C2416" w:rsidP="0024546E">
            <w:pPr>
              <w:pStyle w:val="Tabela"/>
            </w:pPr>
          </w:p>
        </w:tc>
      </w:tr>
      <w:tr w:rsidR="004C2416" w14:paraId="7D67B058" w14:textId="77777777" w:rsidTr="008A2B1C">
        <w:trPr>
          <w:trHeight w:val="1161"/>
        </w:trPr>
        <w:tc>
          <w:tcPr>
            <w:tcW w:w="566" w:type="dxa"/>
          </w:tcPr>
          <w:p w14:paraId="40F2EF67" w14:textId="77777777" w:rsidR="004C2416" w:rsidRPr="0024546E" w:rsidRDefault="004C2416" w:rsidP="0024546E">
            <w:pPr>
              <w:pStyle w:val="Tabela"/>
            </w:pPr>
            <w:r w:rsidRPr="0024546E">
              <w:t>2.</w:t>
            </w:r>
          </w:p>
        </w:tc>
        <w:tc>
          <w:tcPr>
            <w:tcW w:w="5521" w:type="dxa"/>
          </w:tcPr>
          <w:p w14:paraId="4E9541FB" w14:textId="1809870D" w:rsidR="004C2416" w:rsidRPr="0024546E" w:rsidRDefault="004C2416" w:rsidP="0024546E">
            <w:pPr>
              <w:pStyle w:val="Tabela"/>
            </w:pPr>
            <w:r w:rsidRPr="0024546E">
              <w:t>Zakup lokalu mieszkalnego w domu wielorodzinnym</w:t>
            </w:r>
          </w:p>
          <w:p w14:paraId="4F110E07" w14:textId="77777777" w:rsidR="004C2416" w:rsidRPr="0024546E" w:rsidRDefault="004C2416" w:rsidP="0024546E">
            <w:pPr>
              <w:pStyle w:val="Tabela"/>
            </w:pPr>
            <w:r w:rsidRPr="0024546E">
              <w:t>lub domu jednorodzinnego</w:t>
            </w:r>
          </w:p>
          <w:p w14:paraId="5C540632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7A403F7E" w14:textId="2564CEF0" w:rsidR="004C2416" w:rsidRPr="0024546E" w:rsidRDefault="004C2416" w:rsidP="0024546E">
            <w:pPr>
              <w:pStyle w:val="Tabela"/>
            </w:pPr>
            <w:r w:rsidRPr="0024546E">
              <w:t>do 25 % wartości lokalu mieszkalnego,</w:t>
            </w:r>
          </w:p>
          <w:p w14:paraId="0DD0C414" w14:textId="48E38DAA" w:rsidR="004C2416" w:rsidRPr="0024546E" w:rsidRDefault="004C2416" w:rsidP="0024546E">
            <w:pPr>
              <w:pStyle w:val="Tabela"/>
            </w:pPr>
            <w:r w:rsidRPr="0024546E">
              <w:t>nie więcej niż 40.000 zł</w:t>
            </w:r>
          </w:p>
          <w:p w14:paraId="1CFEFE1F" w14:textId="77777777" w:rsidR="004C2416" w:rsidRPr="0024546E" w:rsidRDefault="004C2416" w:rsidP="0024546E">
            <w:pPr>
              <w:pStyle w:val="Tabela"/>
            </w:pPr>
          </w:p>
        </w:tc>
      </w:tr>
      <w:tr w:rsidR="004C2416" w:rsidRPr="004C2416" w14:paraId="5FEEAA81" w14:textId="77777777" w:rsidTr="008A2B1C">
        <w:trPr>
          <w:trHeight w:val="1161"/>
        </w:trPr>
        <w:tc>
          <w:tcPr>
            <w:tcW w:w="566" w:type="dxa"/>
          </w:tcPr>
          <w:p w14:paraId="2707ECA7" w14:textId="77777777" w:rsidR="004C2416" w:rsidRPr="0024546E" w:rsidRDefault="004C2416" w:rsidP="0024546E">
            <w:pPr>
              <w:pStyle w:val="Tabela"/>
            </w:pPr>
            <w:r w:rsidRPr="0024546E">
              <w:t xml:space="preserve">3. </w:t>
            </w:r>
          </w:p>
        </w:tc>
        <w:tc>
          <w:tcPr>
            <w:tcW w:w="5521" w:type="dxa"/>
          </w:tcPr>
          <w:p w14:paraId="24D70F9B" w14:textId="77777777" w:rsidR="004C2416" w:rsidRPr="0024546E" w:rsidRDefault="004C2416" w:rsidP="0024546E">
            <w:pPr>
              <w:pStyle w:val="Tabela"/>
            </w:pPr>
            <w:r w:rsidRPr="0024546E">
              <w:t>Nadbudowę i rozbudowę domu jednorodzinnego</w:t>
            </w:r>
          </w:p>
          <w:p w14:paraId="697E7144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5EFCEFA2" w14:textId="4177513C" w:rsidR="004C2416" w:rsidRPr="0024546E" w:rsidRDefault="004C2416" w:rsidP="0024546E">
            <w:pPr>
              <w:pStyle w:val="Tabela"/>
            </w:pPr>
            <w:r w:rsidRPr="0024546E">
              <w:t>do 25 % wartości kosztorysowej,</w:t>
            </w:r>
          </w:p>
          <w:p w14:paraId="28821423" w14:textId="67712247" w:rsidR="004C2416" w:rsidRPr="0024546E" w:rsidRDefault="004C2416" w:rsidP="0024546E">
            <w:pPr>
              <w:pStyle w:val="Tabela"/>
            </w:pPr>
            <w:r w:rsidRPr="0024546E">
              <w:t>nie więcej niż 25.000 zł</w:t>
            </w:r>
          </w:p>
          <w:p w14:paraId="214B46FA" w14:textId="77777777" w:rsidR="004C2416" w:rsidRPr="0024546E" w:rsidRDefault="004C2416" w:rsidP="0024546E">
            <w:pPr>
              <w:pStyle w:val="Tabela"/>
            </w:pPr>
          </w:p>
        </w:tc>
      </w:tr>
      <w:tr w:rsidR="004C2416" w14:paraId="5A32CD18" w14:textId="77777777" w:rsidTr="008A2B1C">
        <w:trPr>
          <w:trHeight w:val="1085"/>
        </w:trPr>
        <w:tc>
          <w:tcPr>
            <w:tcW w:w="566" w:type="dxa"/>
          </w:tcPr>
          <w:p w14:paraId="1824BFFB" w14:textId="77777777" w:rsidR="004C2416" w:rsidRPr="0024546E" w:rsidRDefault="004C2416" w:rsidP="0024546E">
            <w:pPr>
              <w:pStyle w:val="Tabela"/>
            </w:pPr>
            <w:r w:rsidRPr="0024546E">
              <w:t>4.</w:t>
            </w:r>
          </w:p>
        </w:tc>
        <w:tc>
          <w:tcPr>
            <w:tcW w:w="5521" w:type="dxa"/>
          </w:tcPr>
          <w:p w14:paraId="54E5B65B" w14:textId="638F845E" w:rsidR="004C2416" w:rsidRPr="0024546E" w:rsidRDefault="004C2416" w:rsidP="0024546E">
            <w:pPr>
              <w:pStyle w:val="Tabela"/>
            </w:pPr>
            <w:r w:rsidRPr="0024546E">
              <w:t>Modernizację i przebudowę pomieszczeń niemieszkalnych na lokale mieszkalne</w:t>
            </w:r>
          </w:p>
          <w:p w14:paraId="0B91A76A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6A0C0D33" w14:textId="236ECA2C" w:rsidR="004C2416" w:rsidRPr="0024546E" w:rsidRDefault="004C2416" w:rsidP="0024546E">
            <w:pPr>
              <w:pStyle w:val="Tabela"/>
            </w:pPr>
            <w:r w:rsidRPr="0024546E">
              <w:t>do 25 % wartości kosztorysowej,</w:t>
            </w:r>
          </w:p>
          <w:p w14:paraId="6B6343F4" w14:textId="361879D3" w:rsidR="004C2416" w:rsidRPr="0024546E" w:rsidRDefault="004C2416" w:rsidP="0024546E">
            <w:pPr>
              <w:pStyle w:val="Tabela"/>
            </w:pPr>
            <w:r w:rsidRPr="0024546E">
              <w:t>nie więcej niż 13.000 zł</w:t>
            </w:r>
          </w:p>
        </w:tc>
      </w:tr>
      <w:tr w:rsidR="004C2416" w14:paraId="5AF2E443" w14:textId="77777777" w:rsidTr="008A2B1C">
        <w:trPr>
          <w:trHeight w:val="1522"/>
        </w:trPr>
        <w:tc>
          <w:tcPr>
            <w:tcW w:w="566" w:type="dxa"/>
          </w:tcPr>
          <w:p w14:paraId="26F3223E" w14:textId="77777777" w:rsidR="004C2416" w:rsidRPr="0024546E" w:rsidRDefault="004C2416" w:rsidP="0024546E">
            <w:pPr>
              <w:pStyle w:val="Tabela"/>
            </w:pPr>
            <w:r w:rsidRPr="0024546E">
              <w:t xml:space="preserve">5. </w:t>
            </w:r>
          </w:p>
        </w:tc>
        <w:tc>
          <w:tcPr>
            <w:tcW w:w="5521" w:type="dxa"/>
          </w:tcPr>
          <w:p w14:paraId="2E77C7B8" w14:textId="77777777" w:rsidR="004C2416" w:rsidRPr="0024546E" w:rsidRDefault="004C2416" w:rsidP="0024546E">
            <w:pPr>
              <w:pStyle w:val="Tabela"/>
            </w:pPr>
            <w:r w:rsidRPr="0024546E">
              <w:t>Wykup zajmowanych lokali mieszkalnych na własność</w:t>
            </w:r>
          </w:p>
          <w:p w14:paraId="4435991D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573FBB03" w14:textId="477580F6" w:rsidR="004C2416" w:rsidRPr="0024546E" w:rsidRDefault="004C2416" w:rsidP="0024546E">
            <w:pPr>
              <w:pStyle w:val="Tabela"/>
            </w:pPr>
            <w:r w:rsidRPr="0024546E">
              <w:t>do 50 % wartości mieszkania,</w:t>
            </w:r>
          </w:p>
          <w:p w14:paraId="42F634E3" w14:textId="3BF77690" w:rsidR="004C2416" w:rsidRPr="0024546E" w:rsidRDefault="004C2416" w:rsidP="0024546E">
            <w:pPr>
              <w:pStyle w:val="Tabela"/>
            </w:pPr>
            <w:r w:rsidRPr="0024546E">
              <w:t>nie więcej niż 18.000 zł</w:t>
            </w:r>
          </w:p>
          <w:p w14:paraId="121F6F06" w14:textId="77777777" w:rsidR="004C2416" w:rsidRPr="0024546E" w:rsidRDefault="004C2416" w:rsidP="0024546E">
            <w:pPr>
              <w:pStyle w:val="Tabela"/>
            </w:pPr>
          </w:p>
        </w:tc>
      </w:tr>
      <w:tr w:rsidR="004C2416" w14:paraId="344E2D76" w14:textId="77777777" w:rsidTr="008A2B1C">
        <w:trPr>
          <w:trHeight w:val="1161"/>
        </w:trPr>
        <w:tc>
          <w:tcPr>
            <w:tcW w:w="566" w:type="dxa"/>
          </w:tcPr>
          <w:p w14:paraId="31D21107" w14:textId="77777777" w:rsidR="004C2416" w:rsidRPr="0024546E" w:rsidRDefault="004C2416" w:rsidP="0024546E">
            <w:pPr>
              <w:pStyle w:val="Tabela"/>
            </w:pPr>
            <w:r w:rsidRPr="0024546E">
              <w:t>6.</w:t>
            </w:r>
          </w:p>
        </w:tc>
        <w:tc>
          <w:tcPr>
            <w:tcW w:w="5521" w:type="dxa"/>
          </w:tcPr>
          <w:p w14:paraId="6080E286" w14:textId="4C94232C" w:rsidR="004C2416" w:rsidRPr="0024546E" w:rsidRDefault="0024546E" w:rsidP="0024546E">
            <w:pPr>
              <w:pStyle w:val="Tabela"/>
            </w:pPr>
            <w:r w:rsidRPr="0024546E">
              <w:t xml:space="preserve">Remont </w:t>
            </w:r>
            <w:r w:rsidR="004C2416" w:rsidRPr="0024546E">
              <w:t>i modernizacja lokali i budynków</w:t>
            </w:r>
          </w:p>
          <w:p w14:paraId="4B7F2704" w14:textId="77777777" w:rsidR="004C2416" w:rsidRPr="0024546E" w:rsidRDefault="004C2416" w:rsidP="0024546E">
            <w:pPr>
              <w:pStyle w:val="Tabela"/>
            </w:pPr>
            <w:r w:rsidRPr="0024546E">
              <w:t>mieszkalnych</w:t>
            </w:r>
          </w:p>
          <w:p w14:paraId="6808935A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74072403" w14:textId="50FD8784" w:rsidR="0024546E" w:rsidRPr="0024546E" w:rsidRDefault="004C2416" w:rsidP="0024546E">
            <w:pPr>
              <w:pStyle w:val="Tabela"/>
            </w:pPr>
            <w:r w:rsidRPr="0024546E">
              <w:t>do 15.000 zł.</w:t>
            </w:r>
            <w:r w:rsidR="0024546E" w:rsidRPr="0024546E">
              <w:t xml:space="preserve"> </w:t>
            </w:r>
          </w:p>
          <w:p w14:paraId="0E42D0BA" w14:textId="656CB3A4" w:rsidR="004C2416" w:rsidRPr="0024546E" w:rsidRDefault="004C2416" w:rsidP="0024546E">
            <w:pPr>
              <w:pStyle w:val="Tabela"/>
            </w:pPr>
          </w:p>
        </w:tc>
      </w:tr>
      <w:tr w:rsidR="004C2416" w14:paraId="6861C2F7" w14:textId="77777777" w:rsidTr="008A2B1C">
        <w:trPr>
          <w:trHeight w:val="1522"/>
        </w:trPr>
        <w:tc>
          <w:tcPr>
            <w:tcW w:w="566" w:type="dxa"/>
          </w:tcPr>
          <w:p w14:paraId="593D6C19" w14:textId="77777777" w:rsidR="004C2416" w:rsidRPr="0024546E" w:rsidRDefault="004C2416" w:rsidP="0024546E">
            <w:pPr>
              <w:pStyle w:val="Tabela"/>
            </w:pPr>
            <w:r w:rsidRPr="0024546E">
              <w:t>7.</w:t>
            </w:r>
          </w:p>
        </w:tc>
        <w:tc>
          <w:tcPr>
            <w:tcW w:w="5521" w:type="dxa"/>
          </w:tcPr>
          <w:p w14:paraId="650DAFC8" w14:textId="77777777" w:rsidR="004C2416" w:rsidRPr="0024546E" w:rsidRDefault="004C2416" w:rsidP="0024546E">
            <w:pPr>
              <w:pStyle w:val="Tabela"/>
            </w:pPr>
            <w:r w:rsidRPr="0024546E">
              <w:t>Wpłata kaucji wymaganej przy zawarciu umowy</w:t>
            </w:r>
          </w:p>
          <w:p w14:paraId="591D8B1C" w14:textId="77777777" w:rsidR="004C2416" w:rsidRPr="0024546E" w:rsidRDefault="004C2416" w:rsidP="0024546E">
            <w:pPr>
              <w:pStyle w:val="Tabela"/>
            </w:pPr>
            <w:r w:rsidRPr="0024546E">
              <w:t xml:space="preserve">najmu w Siedleckim Towarzystwie Budownictwa </w:t>
            </w:r>
          </w:p>
          <w:p w14:paraId="5D6E89E3" w14:textId="77777777" w:rsidR="004C2416" w:rsidRPr="0024546E" w:rsidRDefault="004C2416" w:rsidP="0024546E">
            <w:pPr>
              <w:pStyle w:val="Tabela"/>
            </w:pPr>
            <w:r w:rsidRPr="0024546E">
              <w:t>Społecznego</w:t>
            </w:r>
          </w:p>
          <w:p w14:paraId="74ACA5B3" w14:textId="77777777" w:rsidR="004C2416" w:rsidRPr="0024546E" w:rsidRDefault="004C2416" w:rsidP="0024546E">
            <w:pPr>
              <w:pStyle w:val="Tabela"/>
            </w:pPr>
          </w:p>
        </w:tc>
        <w:tc>
          <w:tcPr>
            <w:tcW w:w="4337" w:type="dxa"/>
          </w:tcPr>
          <w:p w14:paraId="0BF097C5" w14:textId="16348DBF" w:rsidR="004C2416" w:rsidRPr="0024546E" w:rsidRDefault="004C2416" w:rsidP="0024546E">
            <w:pPr>
              <w:pStyle w:val="Tabela"/>
            </w:pPr>
            <w:r w:rsidRPr="0024546E">
              <w:t xml:space="preserve"> do 20% kaucji</w:t>
            </w:r>
          </w:p>
          <w:p w14:paraId="27FB225B" w14:textId="792E92D4" w:rsidR="004C2416" w:rsidRPr="0024546E" w:rsidRDefault="004C2416" w:rsidP="0024546E">
            <w:pPr>
              <w:pStyle w:val="Tabela"/>
            </w:pPr>
            <w:r w:rsidRPr="0024546E">
              <w:t xml:space="preserve"> nie więcej niż 20.000 zł</w:t>
            </w:r>
          </w:p>
        </w:tc>
      </w:tr>
      <w:tr w:rsidR="004C2416" w14:paraId="52F6458A" w14:textId="77777777" w:rsidTr="008A2B1C">
        <w:trPr>
          <w:trHeight w:val="1522"/>
        </w:trPr>
        <w:tc>
          <w:tcPr>
            <w:tcW w:w="566" w:type="dxa"/>
          </w:tcPr>
          <w:p w14:paraId="44BE0E8B" w14:textId="77777777" w:rsidR="004C2416" w:rsidRPr="0024546E" w:rsidRDefault="004C2416" w:rsidP="0024546E">
            <w:pPr>
              <w:pStyle w:val="Tabela"/>
            </w:pPr>
            <w:r w:rsidRPr="0024546E">
              <w:t>8.</w:t>
            </w:r>
          </w:p>
        </w:tc>
        <w:tc>
          <w:tcPr>
            <w:tcW w:w="5521" w:type="dxa"/>
          </w:tcPr>
          <w:p w14:paraId="324B8252" w14:textId="77777777" w:rsidR="004C2416" w:rsidRPr="0024546E" w:rsidRDefault="004C2416" w:rsidP="0024546E">
            <w:pPr>
              <w:pStyle w:val="Tabela"/>
            </w:pPr>
            <w:r w:rsidRPr="0024546E">
              <w:t xml:space="preserve">Spłata kredytu hipotecznego zaciągniętego na cele </w:t>
            </w:r>
          </w:p>
          <w:p w14:paraId="15D34AD3" w14:textId="77777777" w:rsidR="004C2416" w:rsidRPr="0024546E" w:rsidRDefault="004C2416" w:rsidP="0024546E">
            <w:pPr>
              <w:pStyle w:val="Tabela"/>
            </w:pPr>
            <w:r w:rsidRPr="0024546E">
              <w:t>określone w pkt 1-2</w:t>
            </w:r>
          </w:p>
        </w:tc>
        <w:tc>
          <w:tcPr>
            <w:tcW w:w="4337" w:type="dxa"/>
          </w:tcPr>
          <w:p w14:paraId="65EA3B9E" w14:textId="673DA1A4" w:rsidR="004C2416" w:rsidRPr="0024546E" w:rsidRDefault="004C2416" w:rsidP="0024546E">
            <w:pPr>
              <w:pStyle w:val="Tabela"/>
            </w:pPr>
            <w:r w:rsidRPr="0024546E">
              <w:t xml:space="preserve">do 25 % wartości kosztorysowej lub </w:t>
            </w:r>
          </w:p>
          <w:p w14:paraId="65FE1ABA" w14:textId="68902F24" w:rsidR="004C2416" w:rsidRPr="0024546E" w:rsidRDefault="004C2416" w:rsidP="0024546E">
            <w:pPr>
              <w:pStyle w:val="Tabela"/>
            </w:pPr>
            <w:r w:rsidRPr="0024546E">
              <w:t>wartości lokalu mieszkalnego</w:t>
            </w:r>
          </w:p>
          <w:p w14:paraId="605434D9" w14:textId="6D128992" w:rsidR="004C2416" w:rsidRPr="0024546E" w:rsidRDefault="004C2416" w:rsidP="0024546E">
            <w:pPr>
              <w:pStyle w:val="Tabela"/>
            </w:pPr>
            <w:r w:rsidRPr="0024546E">
              <w:t>nie więcej niż 40.000 zł</w:t>
            </w:r>
          </w:p>
          <w:p w14:paraId="197C5C86" w14:textId="77777777" w:rsidR="004C2416" w:rsidRPr="0024546E" w:rsidRDefault="004C2416" w:rsidP="0024546E">
            <w:pPr>
              <w:pStyle w:val="Tabela"/>
            </w:pPr>
          </w:p>
        </w:tc>
      </w:tr>
      <w:bookmarkEnd w:id="0"/>
    </w:tbl>
    <w:p w14:paraId="7DF8C42E" w14:textId="3E8BB28E" w:rsidR="009B1250" w:rsidRPr="004C2416" w:rsidRDefault="009B1250" w:rsidP="00122CEB"/>
    <w:sectPr w:rsidR="009B1250" w:rsidRPr="004C2416" w:rsidSect="000B35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E94C" w14:textId="77777777" w:rsidR="00192175" w:rsidRDefault="00192175" w:rsidP="000B4F2C">
      <w:pPr>
        <w:spacing w:before="0" w:after="0" w:line="240" w:lineRule="auto"/>
      </w:pPr>
      <w:r>
        <w:separator/>
      </w:r>
    </w:p>
  </w:endnote>
  <w:endnote w:type="continuationSeparator" w:id="0">
    <w:p w14:paraId="73CBEE6E" w14:textId="77777777" w:rsidR="00192175" w:rsidRDefault="00192175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598F" w14:textId="77777777" w:rsidR="00192175" w:rsidRDefault="00192175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14B0EB2" w14:textId="77777777" w:rsidR="00192175" w:rsidRDefault="00192175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2CEB"/>
    <w:rsid w:val="001270C9"/>
    <w:rsid w:val="00132BC6"/>
    <w:rsid w:val="00156108"/>
    <w:rsid w:val="00165D13"/>
    <w:rsid w:val="00172BB0"/>
    <w:rsid w:val="00176269"/>
    <w:rsid w:val="00183481"/>
    <w:rsid w:val="00192175"/>
    <w:rsid w:val="0019321B"/>
    <w:rsid w:val="001A6E2F"/>
    <w:rsid w:val="001B610A"/>
    <w:rsid w:val="001C4F26"/>
    <w:rsid w:val="001E781B"/>
    <w:rsid w:val="00230997"/>
    <w:rsid w:val="00235585"/>
    <w:rsid w:val="0024546E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6C11"/>
    <w:rsid w:val="00471DB1"/>
    <w:rsid w:val="004A1B80"/>
    <w:rsid w:val="004C2416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E431B"/>
    <w:rsid w:val="00836D4A"/>
    <w:rsid w:val="0087702F"/>
    <w:rsid w:val="008960C8"/>
    <w:rsid w:val="008A2B1C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4C2416"/>
    <w:pPr>
      <w:spacing w:after="60" w:line="240" w:lineRule="auto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2416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4C2416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C2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0C3378B-BFDC-48A3-A022-AD213B3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1166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4</cp:revision>
  <cp:lastPrinted>2020-10-28T10:57:00Z</cp:lastPrinted>
  <dcterms:created xsi:type="dcterms:W3CDTF">2021-02-18T07:12:00Z</dcterms:created>
  <dcterms:modified xsi:type="dcterms:W3CDTF">2021-02-24T09:57:00Z</dcterms:modified>
</cp:coreProperties>
</file>