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68" w:rsidRPr="0061279D" w:rsidRDefault="004912F0" w:rsidP="005A6268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61279D">
        <w:rPr>
          <w:rFonts w:ascii="Arial" w:hAnsi="Arial" w:cs="Arial"/>
          <w:b/>
          <w:color w:val="auto"/>
          <w:sz w:val="22"/>
          <w:szCs w:val="22"/>
        </w:rPr>
        <w:t xml:space="preserve">Akcja 1. </w:t>
      </w:r>
      <w:r w:rsidR="0061279D">
        <w:rPr>
          <w:rFonts w:ascii="Arial" w:hAnsi="Arial" w:cs="Arial"/>
          <w:b/>
          <w:color w:val="auto"/>
          <w:sz w:val="22"/>
          <w:szCs w:val="22"/>
        </w:rPr>
        <w:t xml:space="preserve">Rekrutacja </w:t>
      </w:r>
      <w:r w:rsidR="005A6268" w:rsidRPr="0061279D">
        <w:rPr>
          <w:rFonts w:ascii="Arial" w:hAnsi="Arial" w:cs="Arial"/>
          <w:b/>
          <w:color w:val="auto"/>
          <w:sz w:val="22"/>
          <w:szCs w:val="22"/>
        </w:rPr>
        <w:t xml:space="preserve">i finansowanie wyjazdów w ramach Erasmus + w 2020/2021 </w:t>
      </w:r>
    </w:p>
    <w:p w:rsidR="00AA75EA" w:rsidRPr="000F3F63" w:rsidRDefault="005A6268" w:rsidP="0061279D">
      <w:pPr>
        <w:rPr>
          <w:b/>
        </w:rPr>
      </w:pPr>
      <w:r w:rsidRPr="000F3F63">
        <w:rPr>
          <w:b/>
        </w:rPr>
        <w:t>Załącznik Nr 2 do Zarządzenia Rektora Nr</w:t>
      </w:r>
      <w:r w:rsidR="0044523F" w:rsidRPr="000F3F63">
        <w:rPr>
          <w:b/>
        </w:rPr>
        <w:t xml:space="preserve"> 57</w:t>
      </w:r>
      <w:r w:rsidRPr="000F3F63">
        <w:rPr>
          <w:b/>
        </w:rPr>
        <w:t>/</w:t>
      </w:r>
      <w:r w:rsidR="0044523F" w:rsidRPr="000F3F63">
        <w:rPr>
          <w:b/>
        </w:rPr>
        <w:t xml:space="preserve"> </w:t>
      </w:r>
      <w:r w:rsidRPr="000F3F63">
        <w:rPr>
          <w:b/>
        </w:rPr>
        <w:t>2020</w:t>
      </w:r>
      <w:r w:rsidR="0044523F" w:rsidRPr="000F3F63">
        <w:rPr>
          <w:b/>
        </w:rPr>
        <w:t xml:space="preserve"> z dnia 09 kwietnia 2020 roku</w:t>
      </w:r>
    </w:p>
    <w:p w:rsidR="004912F0" w:rsidRPr="0061279D" w:rsidRDefault="004912F0" w:rsidP="0061279D">
      <w:r w:rsidRPr="0061279D">
        <w:t>Wyjazdy w celu prowadzenia zajęć dydaktycznych w zagranicznych uczelniach</w:t>
      </w:r>
    </w:p>
    <w:p w:rsidR="004912F0" w:rsidRPr="005A6268" w:rsidRDefault="004912F0" w:rsidP="00F416E0">
      <w:pPr>
        <w:pStyle w:val="Akapitzlist"/>
        <w:numPr>
          <w:ilvl w:val="0"/>
          <w:numId w:val="14"/>
        </w:numPr>
        <w:spacing w:after="120"/>
      </w:pPr>
      <w:r w:rsidRPr="005A6268">
        <w:t>Z wyjazdów tego typu mogą korzystać nauczyciele akademiccy.</w:t>
      </w:r>
    </w:p>
    <w:p w:rsidR="004912F0" w:rsidRPr="005A6268" w:rsidRDefault="004912F0" w:rsidP="00F416E0">
      <w:pPr>
        <w:pStyle w:val="Akapitzlist"/>
        <w:numPr>
          <w:ilvl w:val="0"/>
          <w:numId w:val="14"/>
        </w:numPr>
        <w:spacing w:after="120"/>
      </w:pPr>
      <w:r w:rsidRPr="005A6268">
        <w:t xml:space="preserve">Nauczyciele akademiccy mogą wyjeżdżać do zagranicznych szkół wyższych, z którymi UPH podpisał umowy międzyinstytucjonalne i które mają ważną Kartę ECHE (Kartę Erasmusa dla Szkolnictwa Wyższego). </w:t>
      </w:r>
    </w:p>
    <w:p w:rsidR="004912F0" w:rsidRPr="005A6268" w:rsidRDefault="004912F0" w:rsidP="00F416E0">
      <w:pPr>
        <w:pStyle w:val="Akapitzlist"/>
        <w:numPr>
          <w:ilvl w:val="0"/>
          <w:numId w:val="14"/>
        </w:numPr>
        <w:spacing w:after="120"/>
      </w:pPr>
      <w:r w:rsidRPr="005A6268">
        <w:rPr>
          <w:bCs/>
        </w:rPr>
        <w:t xml:space="preserve">Wyjazdy, o których mowa w ust. 2 mogą trwać od 2 do 5 dni. </w:t>
      </w:r>
      <w:r w:rsidRPr="005A6268">
        <w:t xml:space="preserve">Czas trwania mobilności liczony jest bez dni podróży i obejmuje przeprowadzenie 8 godzin wykładów. Jeżeli mobilność trwa dłużej niż jeden tydzień, minimalna liczba godzin dydaktycznych w niepełnym tygodniu powinna być proporcjonalna do czasu trwania takiego tygodnia </w:t>
      </w:r>
    </w:p>
    <w:p w:rsidR="002A4DFB" w:rsidRPr="005A6268" w:rsidRDefault="004912F0" w:rsidP="00F416E0">
      <w:pPr>
        <w:pStyle w:val="Akapitzlist"/>
        <w:numPr>
          <w:ilvl w:val="0"/>
          <w:numId w:val="14"/>
        </w:numPr>
        <w:spacing w:after="120"/>
      </w:pPr>
      <w:r w:rsidRPr="005A6268">
        <w:t>W ramach przyznanego przez NA budżetu, ryczałt na koszty podróży nie będzie wypłacany pracownikom.</w:t>
      </w:r>
    </w:p>
    <w:p w:rsidR="004912F0" w:rsidRPr="005A6268" w:rsidRDefault="002A4DFB" w:rsidP="00F416E0">
      <w:pPr>
        <w:pStyle w:val="Akapitzlist"/>
        <w:numPr>
          <w:ilvl w:val="0"/>
          <w:numId w:val="14"/>
        </w:numPr>
        <w:spacing w:after="120"/>
      </w:pPr>
      <w:r w:rsidRPr="005A6268">
        <w:t xml:space="preserve">O </w:t>
      </w:r>
      <w:r w:rsidR="004912F0" w:rsidRPr="005A6268">
        <w:t>ile pozwolą na to zapisy w umowie finansowej na rok 2020, Komisja Uczelniana Programu Erasmus+ może przyznać pracownikom dodatkową kwotę wsparcia indywidulanego (stypendium) na dzień podróży do i/lub z uczelni partnerskiej, przy zapewnieniu jednakowego traktowania wszystkich pracowników i zgodnie ze stawkami zawartymi w tabeli, w rozdziale VI ust. 1</w:t>
      </w:r>
      <w:r w:rsidR="004912F0" w:rsidRPr="005A6268">
        <w:rPr>
          <w:b/>
        </w:rPr>
        <w:t xml:space="preserve">. </w:t>
      </w:r>
      <w:r w:rsidR="004912F0" w:rsidRPr="005A6268">
        <w:t xml:space="preserve">Przy czym podróż nie musi się odbywać bezpośrednio „przed” i/lub „po” działaniu (tj. okresie pobytu wg potwierdzenia z instytucji przyjmującej- podróż może się odbyć na kilka dni przed i/lub po, przy czym musi być oczywiste, że odbywa się ona w związku z finansowanym działaniem (korespondencja seryjna nr 16/2015).  </w:t>
      </w:r>
    </w:p>
    <w:p w:rsidR="004912F0" w:rsidRPr="005A6268" w:rsidRDefault="004912F0" w:rsidP="00F416E0">
      <w:pPr>
        <w:pStyle w:val="Akapitzlist"/>
        <w:numPr>
          <w:ilvl w:val="0"/>
          <w:numId w:val="14"/>
        </w:numPr>
        <w:spacing w:after="120"/>
        <w:rPr>
          <w:lang w:eastAsia="pl-PL"/>
        </w:rPr>
      </w:pPr>
      <w:r w:rsidRPr="005A6268">
        <w:t xml:space="preserve">Każdy uczestnik mobilności jest zobowiązany do wykupienia </w:t>
      </w:r>
      <w:r w:rsidRPr="005A6268">
        <w:rPr>
          <w:lang w:eastAsia="pl-PL"/>
        </w:rPr>
        <w:t xml:space="preserve">poza obowiązkowym ubezpieczeniem zdrowotnym, także ubezpieczenia od następstw nieszczęśliwych wypadków (NNW), obejmującego transport medyczny oraz ubezpieczenia od odpowiedzialności cywilnej (OC). Uczestnik jest zobowiązany złożyć przed wyjazdem kopię polisy ubezpieczeniowej w dokumentacji dotyczącej wyjazdu. </w:t>
      </w:r>
    </w:p>
    <w:p w:rsidR="004912F0" w:rsidRPr="005A6268" w:rsidRDefault="004912F0" w:rsidP="00F416E0">
      <w:pPr>
        <w:pStyle w:val="Akapitzlist"/>
        <w:numPr>
          <w:ilvl w:val="0"/>
          <w:numId w:val="14"/>
        </w:numPr>
        <w:spacing w:after="120"/>
        <w:rPr>
          <w:lang w:eastAsia="pl-PL"/>
        </w:rPr>
      </w:pPr>
      <w:r w:rsidRPr="005A6268">
        <w:rPr>
          <w:lang w:eastAsia="pl-PL"/>
        </w:rPr>
        <w:t>W przypadku posiadania przez uczelnię wolnych lub otrzymania dodatkowych środków finansowych z Narodowej Agencji Programu Erasmus+ (NA), uczelnia będzie mogła sfinansować jedynie dodatkowe mobilności lub przedłużenie pierwotnego okresu mobilności, o ile aneks z pracownikiem zostanie zawarty przed zakończeniem mobilności. Podniesienie stawki stypendium w stosunku do kwoty ogłoszonej przez NA nie jest możliwe.</w:t>
      </w:r>
    </w:p>
    <w:p w:rsidR="004912F0" w:rsidRPr="005A6268" w:rsidRDefault="004912F0" w:rsidP="00F416E0">
      <w:pPr>
        <w:pStyle w:val="Akapitzlist"/>
        <w:numPr>
          <w:ilvl w:val="0"/>
          <w:numId w:val="14"/>
        </w:numPr>
        <w:spacing w:after="120"/>
        <w:rPr>
          <w:lang w:eastAsia="pl-PL"/>
        </w:rPr>
      </w:pPr>
      <w:r w:rsidRPr="005A6268">
        <w:rPr>
          <w:lang w:eastAsia="pl-PL"/>
        </w:rPr>
        <w:t xml:space="preserve">Pracownik może zrealizować swoją mobilność wyłącznie w kraju programu innym niż kraj zamieszkania pracownika. </w:t>
      </w:r>
    </w:p>
    <w:p w:rsidR="004912F0" w:rsidRPr="005A6268" w:rsidRDefault="004912F0" w:rsidP="00F416E0">
      <w:pPr>
        <w:pStyle w:val="Akapitzlist"/>
        <w:numPr>
          <w:ilvl w:val="0"/>
          <w:numId w:val="14"/>
        </w:numPr>
        <w:spacing w:after="120"/>
        <w:rPr>
          <w:b/>
        </w:rPr>
      </w:pPr>
      <w:proofErr w:type="spellStart"/>
      <w:r w:rsidRPr="005A6268">
        <w:rPr>
          <w:bCs/>
          <w:lang w:eastAsia="pl-PL"/>
        </w:rPr>
        <w:t>Brexit</w:t>
      </w:r>
      <w:proofErr w:type="spellEnd"/>
      <w:r w:rsidRPr="005A6268">
        <w:rPr>
          <w:bCs/>
          <w:lang w:eastAsia="pl-PL"/>
        </w:rPr>
        <w:t>:</w:t>
      </w:r>
      <w:r w:rsidRPr="005A6268">
        <w:rPr>
          <w:b/>
          <w:bCs/>
          <w:lang w:eastAsia="pl-PL"/>
        </w:rPr>
        <w:t xml:space="preserve"> </w:t>
      </w:r>
      <w:r w:rsidRPr="005A6268">
        <w:rPr>
          <w:lang w:eastAsia="pl-PL"/>
        </w:rPr>
        <w:t>mimo wyjścia Wielkiej Brytanii z UE, które nastąpiło 31 stycznia 2020 r., dzięki zawarciu porozumienia o kontynuacji udziału instytucji/organizacji brytyjskich w projektach zatwierdzonych do realizacji w obecnej fazie programu (2014-2020), można realizować wymianę pracowników zgodnie z ustaleniami z partnerami brytyjskimi. Informacja dotyczy projektu który zostanie zaakceptowany do realizacji w konkursie wniosków</w:t>
      </w:r>
      <w:r w:rsidRPr="005A6268">
        <w:rPr>
          <w:color w:val="1F497D"/>
          <w:lang w:eastAsia="pl-PL"/>
        </w:rPr>
        <w:t xml:space="preserve"> </w:t>
      </w:r>
      <w:r w:rsidRPr="005A6268">
        <w:rPr>
          <w:lang w:eastAsia="pl-PL"/>
        </w:rPr>
        <w:t>2020.</w:t>
      </w:r>
    </w:p>
    <w:p w:rsidR="004912F0" w:rsidRPr="00B93F2C" w:rsidRDefault="004912F0" w:rsidP="00B93F2C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B93F2C">
        <w:rPr>
          <w:rFonts w:ascii="Arial" w:hAnsi="Arial" w:cs="Arial"/>
          <w:b/>
          <w:color w:val="auto"/>
          <w:sz w:val="22"/>
          <w:szCs w:val="22"/>
        </w:rPr>
        <w:lastRenderedPageBreak/>
        <w:t>Wyjazdy pracowników uczelni w celach szkoleniowych</w:t>
      </w:r>
    </w:p>
    <w:p w:rsidR="004912F0" w:rsidRPr="005A6268" w:rsidRDefault="004912F0" w:rsidP="0044523F">
      <w:pPr>
        <w:pStyle w:val="Akapitzlist"/>
        <w:numPr>
          <w:ilvl w:val="0"/>
          <w:numId w:val="13"/>
        </w:numPr>
        <w:spacing w:after="120"/>
        <w:ind w:left="714" w:hanging="357"/>
        <w:rPr>
          <w:b/>
        </w:rPr>
      </w:pPr>
      <w:r w:rsidRPr="005A6268">
        <w:t xml:space="preserve">Pracownicy UPH mogą wyjeżdżać do instytucji zagranicznych, np. przedsiębiorstw, organizacji, instytucji edukacyjnych, w tym uczelni, w celu doskonalenia umiejętności i kwalifikacji potrzebnych w pracy, poszerzania wiedzy w danej dziedzinie (wizyta typu </w:t>
      </w:r>
      <w:proofErr w:type="spellStart"/>
      <w:r w:rsidRPr="005A6268">
        <w:t>job</w:t>
      </w:r>
      <w:proofErr w:type="spellEnd"/>
      <w:r w:rsidRPr="005A6268">
        <w:rPr>
          <w:iCs/>
        </w:rPr>
        <w:t xml:space="preserve"> </w:t>
      </w:r>
      <w:proofErr w:type="spellStart"/>
      <w:r w:rsidRPr="005A6268">
        <w:rPr>
          <w:iCs/>
        </w:rPr>
        <w:t>shadowing</w:t>
      </w:r>
      <w:proofErr w:type="spellEnd"/>
      <w:r w:rsidRPr="005A6268">
        <w:t>, okresy obserwacji, szkoleń, wa</w:t>
      </w:r>
      <w:r w:rsidR="00026D55">
        <w:t xml:space="preserve">rsztaty z elementami szkolenia </w:t>
      </w:r>
      <w:r w:rsidRPr="005A6268">
        <w:t>w partnerskiej instytucji szkolnictwa wyższego lub innej odpowiedniej organizacji za granicą). W ramach tego działania nie jest możliwy udział w konferencji.</w:t>
      </w:r>
    </w:p>
    <w:p w:rsidR="004912F0" w:rsidRPr="005A6268" w:rsidRDefault="004912F0" w:rsidP="0044523F">
      <w:pPr>
        <w:pStyle w:val="Akapitzlist"/>
        <w:numPr>
          <w:ilvl w:val="0"/>
          <w:numId w:val="13"/>
        </w:numPr>
        <w:spacing w:after="120"/>
      </w:pPr>
      <w:r w:rsidRPr="005A6268">
        <w:rPr>
          <w:bCs/>
        </w:rPr>
        <w:t>Wyjazd, o którym mowa w ust. 1 może trwać o</w:t>
      </w:r>
      <w:r w:rsidRPr="005A6268">
        <w:t>d 2 dni 5 dni roboczych</w:t>
      </w:r>
      <w:r w:rsidRPr="005A6268">
        <w:rPr>
          <w:b/>
        </w:rPr>
        <w:t xml:space="preserve">.  </w:t>
      </w:r>
      <w:r w:rsidRPr="005A6268">
        <w:t>Czas trwania mobilności liczony jest bez dni podróży.</w:t>
      </w:r>
    </w:p>
    <w:p w:rsidR="004912F0" w:rsidRPr="005A6268" w:rsidRDefault="004912F0" w:rsidP="0044523F">
      <w:pPr>
        <w:pStyle w:val="Akapitzlist"/>
        <w:numPr>
          <w:ilvl w:val="0"/>
          <w:numId w:val="13"/>
        </w:numPr>
        <w:spacing w:after="120"/>
      </w:pPr>
      <w:r w:rsidRPr="005A6268">
        <w:t xml:space="preserve">W ramach przyznanego przez NA budżetu, ryczałt na koszty podróży nie będzie wypłacany pracownikom. </w:t>
      </w:r>
    </w:p>
    <w:p w:rsidR="004912F0" w:rsidRPr="005A6268" w:rsidRDefault="004912F0" w:rsidP="0044523F">
      <w:pPr>
        <w:pStyle w:val="Akapitzlist"/>
        <w:numPr>
          <w:ilvl w:val="0"/>
          <w:numId w:val="13"/>
        </w:numPr>
        <w:spacing w:after="120"/>
        <w:rPr>
          <w:b/>
        </w:rPr>
      </w:pPr>
      <w:r w:rsidRPr="005A6268">
        <w:t>Priorytetowo będą traktowane wyjazdy szkoleniowe dla kadry nauczającej, wyjeżdżającej na specjalistyczne kursy metodyczne, które pozwolą im rozwijać umiejętności pedagogiczne i umiejętności w zakresie opracowywania programów nauczania.</w:t>
      </w:r>
    </w:p>
    <w:p w:rsidR="002A4DFB" w:rsidRPr="005A6268" w:rsidRDefault="00722024" w:rsidP="0044523F">
      <w:pPr>
        <w:pStyle w:val="Akapitzlist"/>
        <w:numPr>
          <w:ilvl w:val="0"/>
          <w:numId w:val="13"/>
        </w:numPr>
        <w:spacing w:after="120"/>
        <w:rPr>
          <w:b/>
        </w:rPr>
      </w:pPr>
      <w:r w:rsidRPr="005A6268">
        <w:t xml:space="preserve">W związku z powyższym priorytetem możliwa jest realizacja wyjazdów łączonych (STA i STT) w ramach jednego wyjazdu, o ile część szkoleniowa będzie dotyczyła podnoszenia kompetencji dydaktycznych. W tym przypadku minimalna liczba zajęć dydaktycznych do zrealizowania będzie obniżona do </w:t>
      </w:r>
      <w:r w:rsidRPr="005A6268">
        <w:rPr>
          <w:b/>
        </w:rPr>
        <w:t xml:space="preserve">4 godzin </w:t>
      </w:r>
      <w:r w:rsidRPr="005A6268">
        <w:t xml:space="preserve">(wykładowca jest zobowiązany wypełnić formularz </w:t>
      </w:r>
      <w:proofErr w:type="spellStart"/>
      <w:r w:rsidRPr="005A6268">
        <w:t>Mobility</w:t>
      </w:r>
      <w:proofErr w:type="spellEnd"/>
      <w:r w:rsidRPr="005A6268">
        <w:t xml:space="preserve"> </w:t>
      </w:r>
      <w:proofErr w:type="spellStart"/>
      <w:r w:rsidRPr="005A6268">
        <w:t>Agreement</w:t>
      </w:r>
      <w:proofErr w:type="spellEnd"/>
      <w:r w:rsidRPr="005A6268">
        <w:t xml:space="preserve"> for </w:t>
      </w:r>
      <w:proofErr w:type="spellStart"/>
      <w:r w:rsidRPr="005A6268">
        <w:t>Teaching</w:t>
      </w:r>
      <w:proofErr w:type="spellEnd"/>
      <w:r w:rsidRPr="005A6268">
        <w:t>, u</w:t>
      </w:r>
      <w:r w:rsidR="002A4DFB" w:rsidRPr="005A6268">
        <w:t>względniając w nim szkolenie).</w:t>
      </w:r>
    </w:p>
    <w:p w:rsidR="00722024" w:rsidRPr="005A6268" w:rsidRDefault="002A4DFB" w:rsidP="0044523F">
      <w:pPr>
        <w:pStyle w:val="Akapitzlist"/>
        <w:numPr>
          <w:ilvl w:val="0"/>
          <w:numId w:val="13"/>
        </w:numPr>
        <w:spacing w:after="120"/>
        <w:rPr>
          <w:b/>
        </w:rPr>
      </w:pPr>
      <w:r w:rsidRPr="005A6268">
        <w:t xml:space="preserve">O </w:t>
      </w:r>
      <w:r w:rsidR="00722024" w:rsidRPr="005A6268">
        <w:t>ile pozwolą na to zapisy w umowie finansowej na rok 2020, Komisja Uczelniana Programu Erasmus+ może przyznać pracownikom dodatkową kwotę wsparcia indywidulanego (stypendium) na dzień podróży do i/lub z uczelni partnerskiej, przy zapewnieniu jednakowego traktowania wszystkich pracowników i zgodnie ze stawkami zawartymi w tabeli, rozdział VI, pkt. 1. Podróż nie musi się odbywać bezpośrednio „przed” i/lub „po” działaniu (tj. okresie pobytu wg. potwierdzenia z instytucji przyjmującej- podróż może się odbyć na kilka dni przed i/lub po, przy czym musi być oczywiste, że odbywa się ona w związku z finansowanym działaniem (korespondencja seryjna nr 16/2015).</w:t>
      </w:r>
    </w:p>
    <w:p w:rsidR="00722024" w:rsidRPr="005A6268" w:rsidRDefault="00722024" w:rsidP="00F416E0">
      <w:pPr>
        <w:pStyle w:val="Akapitzlist"/>
        <w:numPr>
          <w:ilvl w:val="0"/>
          <w:numId w:val="13"/>
        </w:numPr>
        <w:spacing w:after="120"/>
        <w:rPr>
          <w:b/>
        </w:rPr>
      </w:pPr>
      <w:r w:rsidRPr="005A6268">
        <w:t xml:space="preserve">Każdy uczestnik mobilności jest zobowiązany do wykupienia </w:t>
      </w:r>
      <w:r w:rsidRPr="005A6268">
        <w:rPr>
          <w:lang w:eastAsia="pl-PL"/>
        </w:rPr>
        <w:t>poza obowiązkowym ubezpieczeniem zdrowotnym, także ubezpieczenia od następstw nieszczęśliwych wypadków (NNW), obejmującego transport medyczny oraz ubezpieczenia od odpowiedzialności cywilnej (OC). Uczestnik jest zobowiązany złożyć przed wyjazdem kopię polisy ubezpieczeniowej w dokumentacji dotyczącej wyjazdu.</w:t>
      </w:r>
    </w:p>
    <w:p w:rsidR="00722024" w:rsidRPr="005A6268" w:rsidRDefault="00722024" w:rsidP="00F416E0">
      <w:pPr>
        <w:pStyle w:val="Akapitzlist"/>
        <w:numPr>
          <w:ilvl w:val="0"/>
          <w:numId w:val="13"/>
        </w:numPr>
        <w:spacing w:after="120"/>
        <w:rPr>
          <w:lang w:eastAsia="pl-PL"/>
        </w:rPr>
      </w:pPr>
      <w:r w:rsidRPr="005A6268">
        <w:rPr>
          <w:lang w:eastAsia="pl-PL"/>
        </w:rPr>
        <w:t>W przypadku posiadania przez uczelnię wolnych lub otrzymania dodatkowych środków finansowych z Narodowej Agencji Programu Erasmus+ (NA), uczelnia będzie mogła sfinansować jedynie dodatkowe mobilności. Podniesienie stawki stypendium w stosunku do kwoty ogłoszonej przez NA nie jest możliwe.</w:t>
      </w:r>
    </w:p>
    <w:p w:rsidR="00722024" w:rsidRPr="005A6268" w:rsidRDefault="00722024" w:rsidP="00F416E0">
      <w:pPr>
        <w:pStyle w:val="Akapitzlist"/>
        <w:numPr>
          <w:ilvl w:val="0"/>
          <w:numId w:val="13"/>
        </w:numPr>
        <w:spacing w:after="120"/>
        <w:rPr>
          <w:lang w:eastAsia="pl-PL"/>
        </w:rPr>
      </w:pPr>
      <w:r w:rsidRPr="005A6268">
        <w:rPr>
          <w:lang w:eastAsia="pl-PL"/>
        </w:rPr>
        <w:t>Organizacją przyjmującą w ramach tego działania musi być instytucją szkolnictwa wyższego z kraju programu posiadająca Kartę Erasmusa dla szkolnictwa wyższego; każdą publiczna lub prywatną organizacją z kraju programu prowadzącą działalność na rynku pracy lub w dziedzinie kształcenia, szkolenia i na rzecz młodzieży.</w:t>
      </w:r>
    </w:p>
    <w:p w:rsidR="00944B22" w:rsidRPr="005A6268" w:rsidRDefault="00722024" w:rsidP="00F416E0">
      <w:pPr>
        <w:pStyle w:val="Akapitzlist"/>
        <w:numPr>
          <w:ilvl w:val="0"/>
          <w:numId w:val="13"/>
        </w:numPr>
        <w:spacing w:after="120"/>
        <w:rPr>
          <w:lang w:eastAsia="pl-PL"/>
        </w:rPr>
      </w:pPr>
      <w:r w:rsidRPr="005A6268">
        <w:rPr>
          <w:lang w:eastAsia="pl-PL"/>
        </w:rPr>
        <w:t>Pracownik może zrealizować swoją mobilność wyłącznie w kraju programu innym niż kraj zamieszkania pracownika.</w:t>
      </w:r>
    </w:p>
    <w:p w:rsidR="004467C2" w:rsidRPr="00B93F2C" w:rsidRDefault="004467C2" w:rsidP="00B93F2C">
      <w:pPr>
        <w:pStyle w:val="Nagwek3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B93F2C">
        <w:rPr>
          <w:rFonts w:ascii="Arial" w:hAnsi="Arial" w:cs="Arial"/>
          <w:b/>
          <w:color w:val="auto"/>
          <w:sz w:val="22"/>
          <w:szCs w:val="22"/>
          <w:lang w:eastAsia="pl-PL"/>
        </w:rPr>
        <w:lastRenderedPageBreak/>
        <w:t>Rekrutacja</w:t>
      </w:r>
    </w:p>
    <w:p w:rsidR="004467C2" w:rsidRPr="005A6268" w:rsidRDefault="004467C2" w:rsidP="0044523F">
      <w:pPr>
        <w:pStyle w:val="Akapitzlist"/>
        <w:numPr>
          <w:ilvl w:val="0"/>
          <w:numId w:val="28"/>
        </w:numPr>
        <w:spacing w:after="120"/>
        <w:rPr>
          <w:lang w:eastAsia="pl-PL"/>
        </w:rPr>
      </w:pPr>
      <w:r w:rsidRPr="005A6268">
        <w:rPr>
          <w:lang w:eastAsia="pl-PL"/>
        </w:rPr>
        <w:t xml:space="preserve">Na wyjazd </w:t>
      </w:r>
      <w:r w:rsidRPr="005A6268">
        <w:t xml:space="preserve">w ramach programu Erasmus+ może być zakwalifikowana osoba będąca pracownikiem Uniwersytetu Przyrodniczo-Humanistycznego w Siedlcach. Podstawą zatrudnienia powinna być umowa o pracę lub inna umowa cywilno-prawna- </w:t>
      </w:r>
      <w:r w:rsidRPr="0044523F">
        <w:rPr>
          <w:b/>
        </w:rPr>
        <w:t>preferowane będą wyjazdy kadry dydaktycznej i administracyjnej związanej z uczelnią umową o pracę.</w:t>
      </w:r>
    </w:p>
    <w:p w:rsidR="004467C2" w:rsidRPr="005A6268" w:rsidRDefault="004467C2" w:rsidP="0044523F">
      <w:pPr>
        <w:pStyle w:val="Akapitzlist"/>
        <w:numPr>
          <w:ilvl w:val="0"/>
          <w:numId w:val="28"/>
        </w:numPr>
        <w:spacing w:after="120"/>
        <w:rPr>
          <w:lang w:eastAsia="pl-PL"/>
        </w:rPr>
      </w:pPr>
      <w:r w:rsidRPr="005A6268">
        <w:rPr>
          <w:lang w:eastAsia="pl-PL"/>
        </w:rPr>
        <w:t>Pracownik kwalifikujący się do wyjazdu w ramach programu Erasmus+ musi spełniać następujące kryteria formalne:</w:t>
      </w:r>
      <w:r w:rsidR="00AC30CB" w:rsidRPr="005A6268">
        <w:rPr>
          <w:lang w:eastAsia="pl-PL"/>
        </w:rPr>
        <w:t xml:space="preserve"> posiadać obywatelstwo państwa uczestniczącego w programie Erasmus+; posiadać prawo stałego pobytu, prawo okresowego pobytu lub status uchodźcy w państwie uczestniczącym w programie Erasmus+. </w:t>
      </w:r>
    </w:p>
    <w:p w:rsidR="002A4DFB" w:rsidRPr="005A6268" w:rsidRDefault="00AC30CB" w:rsidP="0044523F">
      <w:pPr>
        <w:pStyle w:val="Akapitzlist"/>
        <w:numPr>
          <w:ilvl w:val="0"/>
          <w:numId w:val="28"/>
        </w:numPr>
        <w:spacing w:after="120"/>
        <w:rPr>
          <w:lang w:eastAsia="pl-PL"/>
        </w:rPr>
      </w:pPr>
      <w:r w:rsidRPr="005A6268">
        <w:rPr>
          <w:lang w:eastAsia="pl-PL"/>
        </w:rPr>
        <w:t>Rekrutację</w:t>
      </w:r>
      <w:r w:rsidR="002A4DFB" w:rsidRPr="005A6268">
        <w:t xml:space="preserve"> </w:t>
      </w:r>
      <w:r w:rsidR="002A4DFB" w:rsidRPr="005A6268">
        <w:rPr>
          <w:lang w:eastAsia="pl-PL"/>
        </w:rPr>
        <w:t>na wyjazdy szkoleniowe i w celu prowadzenia zajęć przeprowadza się do 26 maja 2020 r.</w:t>
      </w:r>
    </w:p>
    <w:p w:rsidR="002A4DFB" w:rsidRPr="0061279D" w:rsidRDefault="002A4DFB" w:rsidP="0061279D">
      <w:pPr>
        <w:pStyle w:val="Akapitzlist"/>
        <w:rPr>
          <w:b/>
          <w:lang w:eastAsia="pl-PL"/>
        </w:rPr>
      </w:pPr>
      <w:r w:rsidRPr="0061279D">
        <w:rPr>
          <w:b/>
          <w:lang w:eastAsia="pl-PL"/>
        </w:rPr>
        <w:t>Terminy</w:t>
      </w:r>
    </w:p>
    <w:p w:rsidR="002A4DFB" w:rsidRPr="005A6268" w:rsidRDefault="002A4DFB" w:rsidP="00F416E0">
      <w:pPr>
        <w:pStyle w:val="Akapitzlist"/>
        <w:numPr>
          <w:ilvl w:val="0"/>
          <w:numId w:val="15"/>
        </w:numPr>
        <w:spacing w:after="120"/>
        <w:rPr>
          <w:lang w:eastAsia="pl-PL"/>
        </w:rPr>
      </w:pPr>
      <w:r w:rsidRPr="005A6268">
        <w:rPr>
          <w:lang w:eastAsia="pl-PL"/>
        </w:rPr>
        <w:t>W roku akademickim 2020/2021 wyjazdy w ramach programu Erasmus+ będą realizowane do 30 września 2021 r.</w:t>
      </w:r>
    </w:p>
    <w:p w:rsidR="002A4DFB" w:rsidRPr="005A6268" w:rsidRDefault="002A4DFB" w:rsidP="00F416E0">
      <w:pPr>
        <w:pStyle w:val="Akapitzlist"/>
        <w:numPr>
          <w:ilvl w:val="0"/>
          <w:numId w:val="15"/>
        </w:numPr>
        <w:spacing w:after="120"/>
        <w:rPr>
          <w:lang w:eastAsia="pl-PL"/>
        </w:rPr>
      </w:pPr>
      <w:r w:rsidRPr="005A6268">
        <w:rPr>
          <w:lang w:eastAsia="pl-PL"/>
        </w:rPr>
        <w:t>UPH zaleca wyjazdy odbywające się w dniach roboczych od poniedziałku do piątku.</w:t>
      </w:r>
    </w:p>
    <w:p w:rsidR="00794FE6" w:rsidRPr="005A6268" w:rsidRDefault="002A4DFB" w:rsidP="00F416E0">
      <w:pPr>
        <w:pStyle w:val="Akapitzlist"/>
        <w:numPr>
          <w:ilvl w:val="0"/>
          <w:numId w:val="15"/>
        </w:numPr>
        <w:spacing w:after="120"/>
        <w:rPr>
          <w:lang w:eastAsia="pl-PL"/>
        </w:rPr>
      </w:pPr>
      <w:r w:rsidRPr="005A6268">
        <w:rPr>
          <w:lang w:eastAsia="pl-PL"/>
        </w:rPr>
        <w:t>Kwalifikacja pracowników na wyjazd przeprowadzana jest w jednostkach zatrudniających kandydata przez utworzone w tym celu komisje. Skład komisji ustala dyrektor instytutu.</w:t>
      </w:r>
    </w:p>
    <w:p w:rsidR="00794FE6" w:rsidRPr="005A6268" w:rsidRDefault="00794FE6" w:rsidP="00F416E0">
      <w:pPr>
        <w:pStyle w:val="Akapitzlist"/>
        <w:numPr>
          <w:ilvl w:val="0"/>
          <w:numId w:val="15"/>
        </w:numPr>
        <w:spacing w:after="120"/>
        <w:rPr>
          <w:lang w:eastAsia="pl-PL"/>
        </w:rPr>
      </w:pPr>
      <w:r w:rsidRPr="005A6268">
        <w:rPr>
          <w:lang w:eastAsia="pl-PL"/>
        </w:rPr>
        <w:t>Przy kwalifikowaniu kandydata, komisja bierze pod uwagę w szczególności:</w:t>
      </w:r>
    </w:p>
    <w:p w:rsidR="00794FE6" w:rsidRPr="005A6268" w:rsidRDefault="00794FE6" w:rsidP="00F416E0">
      <w:pPr>
        <w:pStyle w:val="Akapitzlist"/>
        <w:spacing w:after="120"/>
        <w:rPr>
          <w:b/>
          <w:lang w:eastAsia="pl-PL"/>
        </w:rPr>
      </w:pPr>
      <w:r w:rsidRPr="005A6268">
        <w:rPr>
          <w:b/>
          <w:lang w:eastAsia="pl-PL"/>
        </w:rPr>
        <w:t>przy wyjazdach w celu prowadzenia zajęć dydaktycznych</w:t>
      </w:r>
    </w:p>
    <w:p w:rsidR="00794FE6" w:rsidRPr="005A6268" w:rsidRDefault="00794FE6" w:rsidP="00F416E0">
      <w:pPr>
        <w:pStyle w:val="Akapitzlist"/>
        <w:spacing w:after="120"/>
        <w:rPr>
          <w:lang w:eastAsia="pl-PL"/>
        </w:rPr>
      </w:pPr>
      <w:r w:rsidRPr="005A6268">
        <w:rPr>
          <w:lang w:eastAsia="pl-PL"/>
        </w:rPr>
        <w:t>porozumienie o programie nauczania, podpisane przez instytucję przyjmującą;</w:t>
      </w:r>
    </w:p>
    <w:p w:rsidR="00794FE6" w:rsidRPr="005A6268" w:rsidRDefault="00794FE6" w:rsidP="00F416E0">
      <w:pPr>
        <w:pStyle w:val="Akapitzlist"/>
        <w:spacing w:after="120"/>
        <w:rPr>
          <w:lang w:eastAsia="pl-PL"/>
        </w:rPr>
      </w:pPr>
      <w:r w:rsidRPr="005A6268">
        <w:rPr>
          <w:lang w:eastAsia="pl-PL"/>
        </w:rPr>
        <w:t>doświadczenie dydaktyczne;</w:t>
      </w:r>
    </w:p>
    <w:p w:rsidR="00794FE6" w:rsidRPr="005A6268" w:rsidRDefault="00794FE6" w:rsidP="00F416E0">
      <w:pPr>
        <w:pStyle w:val="Akapitzlist"/>
        <w:spacing w:after="120"/>
        <w:rPr>
          <w:lang w:eastAsia="pl-PL"/>
        </w:rPr>
      </w:pPr>
      <w:r w:rsidRPr="005A6268">
        <w:rPr>
          <w:lang w:eastAsia="pl-PL"/>
        </w:rPr>
        <w:t xml:space="preserve">swobodę prowadzenia zajęć dydaktycznych w języku obcym, uznawanym </w:t>
      </w:r>
    </w:p>
    <w:p w:rsidR="00794FE6" w:rsidRPr="005A6268" w:rsidRDefault="00794FE6" w:rsidP="00F416E0">
      <w:pPr>
        <w:pStyle w:val="Akapitzlist"/>
        <w:spacing w:after="120"/>
        <w:rPr>
          <w:lang w:eastAsia="pl-PL"/>
        </w:rPr>
      </w:pPr>
      <w:r w:rsidRPr="005A6268">
        <w:rPr>
          <w:lang w:eastAsia="pl-PL"/>
        </w:rPr>
        <w:t>w zagranicznej uczelni partnerskiej;</w:t>
      </w:r>
    </w:p>
    <w:p w:rsidR="00794FE6" w:rsidRPr="005A6268" w:rsidRDefault="00794FE6" w:rsidP="00F416E0">
      <w:pPr>
        <w:pStyle w:val="Akapitzlist"/>
        <w:spacing w:after="120"/>
        <w:rPr>
          <w:lang w:eastAsia="pl-PL"/>
        </w:rPr>
      </w:pPr>
      <w:r w:rsidRPr="005A6268">
        <w:rPr>
          <w:lang w:eastAsia="pl-PL"/>
        </w:rPr>
        <w:t>zaangażowanie w proces rekrutacji studentów na wyjazdy w ramach programu Erasmus+ oraz propagowanie idei programu;</w:t>
      </w:r>
    </w:p>
    <w:p w:rsidR="00794FE6" w:rsidRPr="005A6268" w:rsidRDefault="00794FE6" w:rsidP="00F416E0">
      <w:pPr>
        <w:pStyle w:val="Akapitzlist"/>
        <w:spacing w:after="120"/>
        <w:rPr>
          <w:lang w:eastAsia="pl-PL"/>
        </w:rPr>
      </w:pPr>
      <w:r w:rsidRPr="005A6268">
        <w:rPr>
          <w:lang w:eastAsia="pl-PL"/>
        </w:rPr>
        <w:t>spodziewany wpływ wyjazdu na rozwój własny pracownika;</w:t>
      </w:r>
    </w:p>
    <w:p w:rsidR="00794FE6" w:rsidRPr="005A6268" w:rsidRDefault="00794FE6" w:rsidP="00F416E0">
      <w:pPr>
        <w:pStyle w:val="Akapitzlist"/>
        <w:spacing w:after="120"/>
        <w:rPr>
          <w:lang w:eastAsia="pl-PL"/>
        </w:rPr>
      </w:pPr>
      <w:r w:rsidRPr="005A6268">
        <w:rPr>
          <w:lang w:eastAsia="pl-PL"/>
        </w:rPr>
        <w:t>korzyści dla uczelni wynikające z dodatkowych działań podejmowanych podczas pobytu.</w:t>
      </w:r>
    </w:p>
    <w:p w:rsidR="00794FE6" w:rsidRPr="005A6268" w:rsidRDefault="00794FE6" w:rsidP="00F416E0">
      <w:pPr>
        <w:pStyle w:val="Akapitzlist"/>
        <w:spacing w:after="120"/>
        <w:rPr>
          <w:b/>
          <w:lang w:eastAsia="pl-PL"/>
        </w:rPr>
      </w:pPr>
      <w:r w:rsidRPr="005A6268">
        <w:rPr>
          <w:b/>
          <w:lang w:eastAsia="pl-PL"/>
        </w:rPr>
        <w:t>przy wyjazdach szkoleniowych</w:t>
      </w:r>
    </w:p>
    <w:p w:rsidR="00794FE6" w:rsidRPr="005A6268" w:rsidRDefault="00794FE6" w:rsidP="00F416E0">
      <w:pPr>
        <w:pStyle w:val="Akapitzlist"/>
        <w:spacing w:after="120"/>
      </w:pPr>
      <w:r w:rsidRPr="005A6268">
        <w:t>porozumienie o programie szkolenia, podpisan</w:t>
      </w:r>
      <w:r w:rsidR="0044523F">
        <w:t xml:space="preserve">e przez instytucję przyjmującą; </w:t>
      </w:r>
      <w:r w:rsidRPr="005A6268">
        <w:t>doświadczenie zawodowe;</w:t>
      </w:r>
    </w:p>
    <w:p w:rsidR="00794FE6" w:rsidRPr="005A6268" w:rsidRDefault="00794FE6" w:rsidP="00F416E0">
      <w:pPr>
        <w:pStyle w:val="Akapitzlist"/>
        <w:spacing w:after="120"/>
      </w:pPr>
      <w:r w:rsidRPr="005A6268">
        <w:t>znajomość języka obcego, uznawanego w instytucji przyjmującej;</w:t>
      </w:r>
    </w:p>
    <w:p w:rsidR="00794FE6" w:rsidRPr="005A6268" w:rsidRDefault="00794FE6" w:rsidP="00F416E0">
      <w:pPr>
        <w:pStyle w:val="Akapitzlist"/>
        <w:spacing w:after="120"/>
      </w:pPr>
      <w:r w:rsidRPr="005A6268">
        <w:t>spodziewany wpływ wyjazdu na podniesienie kwalifikacji pracownika;</w:t>
      </w:r>
    </w:p>
    <w:p w:rsidR="00794FE6" w:rsidRPr="005A6268" w:rsidRDefault="00794FE6" w:rsidP="00F416E0">
      <w:pPr>
        <w:pStyle w:val="Akapitzlist"/>
        <w:spacing w:after="120"/>
      </w:pPr>
      <w:r w:rsidRPr="005A6268">
        <w:t>oczekiwane efekty szkolenia dla uczelni i jednostki macierzystej.</w:t>
      </w:r>
    </w:p>
    <w:p w:rsidR="00794FE6" w:rsidRPr="005A6268" w:rsidRDefault="00794FE6" w:rsidP="00F416E0">
      <w:pPr>
        <w:pStyle w:val="Akapitzlist"/>
        <w:numPr>
          <w:ilvl w:val="0"/>
          <w:numId w:val="15"/>
        </w:numPr>
        <w:spacing w:after="120"/>
      </w:pPr>
      <w:r w:rsidRPr="005A6268">
        <w:rPr>
          <w:lang w:eastAsia="pl-PL"/>
        </w:rPr>
        <w:t>Pierwszeństwo w zakwalifikowaniu na wyjazd, w przypadku jednakowej oceny, mają pracownicy ubiegający się o wyjazd po raz pierwszy oraz posiadający krótszy staż pracy.</w:t>
      </w:r>
    </w:p>
    <w:p w:rsidR="00794FE6" w:rsidRPr="005A6268" w:rsidRDefault="00794FE6" w:rsidP="00F416E0">
      <w:pPr>
        <w:pStyle w:val="Akapitzlist"/>
        <w:numPr>
          <w:ilvl w:val="0"/>
          <w:numId w:val="15"/>
        </w:numPr>
        <w:spacing w:after="120"/>
      </w:pPr>
      <w:r w:rsidRPr="005A6268">
        <w:rPr>
          <w:lang w:eastAsia="pl-PL"/>
        </w:rPr>
        <w:t>Pracownikowi przysługuje prawo do wniesienia odwołania od rozstrzygnięcia komisji kwalifikacyjnej w terminie 7 dni od dnia ogłoszenia wyników każdego terminu rekrutacji. Odwołanie wnosi się do komisji prowadzącej kwalifikację.</w:t>
      </w:r>
    </w:p>
    <w:p w:rsidR="00794FE6" w:rsidRPr="005A6268" w:rsidRDefault="00794FE6" w:rsidP="00F416E0">
      <w:pPr>
        <w:pStyle w:val="Akapitzlist"/>
        <w:numPr>
          <w:ilvl w:val="0"/>
          <w:numId w:val="15"/>
        </w:numPr>
        <w:spacing w:after="120"/>
      </w:pPr>
      <w:r w:rsidRPr="005A6268">
        <w:rPr>
          <w:lang w:eastAsia="pl-PL"/>
        </w:rPr>
        <w:t xml:space="preserve">Instytutowy Koordynator Programu Erasmus+ przekazuje protokoły z kwalifikacji pracowników na wyjazdy w celu prowadzenia zajęć oraz szkolenia wraz z </w:t>
      </w:r>
      <w:r w:rsidRPr="005A6268">
        <w:rPr>
          <w:lang w:eastAsia="pl-PL"/>
        </w:rPr>
        <w:lastRenderedPageBreak/>
        <w:t>formularzami zgłoszeniowymi i porozumieniami o programie nauczania/szkolenia do Działu Nauki i Współpracy z Zagranicą w terminie do 1 czerwca 2020 r.</w:t>
      </w:r>
    </w:p>
    <w:p w:rsidR="00794FE6" w:rsidRPr="005A6268" w:rsidRDefault="00794FE6" w:rsidP="00F416E0">
      <w:pPr>
        <w:pStyle w:val="Akapitzlist"/>
        <w:numPr>
          <w:ilvl w:val="0"/>
          <w:numId w:val="15"/>
        </w:numPr>
        <w:spacing w:after="120"/>
      </w:pPr>
      <w:r w:rsidRPr="005A6268">
        <w:rPr>
          <w:lang w:eastAsia="pl-PL"/>
        </w:rPr>
        <w:t>W przypadku braku dostatecznej liczby zgłoszeń, druga rekrutacja zostanie przeprowadzona wśród pracowników do 23 października 2020 r., a następnie w sposób ciągły do wyczerpania puli stypendiów.</w:t>
      </w:r>
    </w:p>
    <w:p w:rsidR="00794FE6" w:rsidRPr="005A6268" w:rsidRDefault="00794FE6" w:rsidP="00F416E0">
      <w:pPr>
        <w:pStyle w:val="Akapitzlist"/>
        <w:numPr>
          <w:ilvl w:val="0"/>
          <w:numId w:val="15"/>
        </w:numPr>
        <w:spacing w:after="120"/>
      </w:pPr>
      <w:r w:rsidRPr="005A6268">
        <w:rPr>
          <w:lang w:eastAsia="pl-PL"/>
        </w:rPr>
        <w:t>Komisja uczelniana, w skład której wchodzą: kierownik Działu Nauki i Współpracy z Zagranicą, uczelniany koordynator programu Erasmus+, instytutowi koordynatorzy programu Erasmus+ oraz prorektor ds. nauki przygotowuje zbiorczą listę (protokół uczelniany) z kwalifikacji pracowników na wyjazdy w celu prowadzenia zajęć i w celach szkoleniowych.</w:t>
      </w:r>
    </w:p>
    <w:p w:rsidR="00794FE6" w:rsidRPr="005A6268" w:rsidRDefault="00794FE6" w:rsidP="00F416E0">
      <w:pPr>
        <w:pStyle w:val="Akapitzlist"/>
        <w:numPr>
          <w:ilvl w:val="0"/>
          <w:numId w:val="15"/>
        </w:numPr>
        <w:spacing w:after="120"/>
      </w:pPr>
      <w:r w:rsidRPr="005A6268">
        <w:rPr>
          <w:lang w:eastAsia="pl-PL"/>
        </w:rPr>
        <w:t>Pracownik jest zobowiązany poinformować Dział Nauki i Współpracy z Zagranicą o wyjeździe  na co najmniej trzy tygodnie przed wyjazdem.</w:t>
      </w:r>
    </w:p>
    <w:p w:rsidR="00794FE6" w:rsidRPr="005A6268" w:rsidRDefault="00794FE6" w:rsidP="00F416E0">
      <w:pPr>
        <w:pStyle w:val="Akapitzlist"/>
        <w:numPr>
          <w:ilvl w:val="0"/>
          <w:numId w:val="15"/>
        </w:numPr>
        <w:spacing w:after="120"/>
      </w:pPr>
      <w:r w:rsidRPr="005A6268">
        <w:rPr>
          <w:lang w:eastAsia="pl-PL"/>
        </w:rPr>
        <w:t>W przypadku zmiany pierwotnie planowanego terminu pobytu w uczelni przyjmującej konieczne jest uaktualnienie porozumienia o programie nauczania/szkolenia (</w:t>
      </w:r>
      <w:proofErr w:type="spellStart"/>
      <w:r w:rsidRPr="005A6268">
        <w:rPr>
          <w:lang w:eastAsia="pl-PL"/>
        </w:rPr>
        <w:t>Mobility</w:t>
      </w:r>
      <w:proofErr w:type="spellEnd"/>
      <w:r w:rsidRPr="005A6268">
        <w:rPr>
          <w:lang w:eastAsia="pl-PL"/>
        </w:rPr>
        <w:t xml:space="preserve"> </w:t>
      </w:r>
      <w:proofErr w:type="spellStart"/>
      <w:r w:rsidRPr="005A6268">
        <w:rPr>
          <w:lang w:eastAsia="pl-PL"/>
        </w:rPr>
        <w:t>Agreement</w:t>
      </w:r>
      <w:proofErr w:type="spellEnd"/>
      <w:r w:rsidRPr="005A6268">
        <w:rPr>
          <w:lang w:eastAsia="pl-PL"/>
        </w:rPr>
        <w:t xml:space="preserve"> for </w:t>
      </w:r>
      <w:proofErr w:type="spellStart"/>
      <w:r w:rsidRPr="005A6268">
        <w:rPr>
          <w:lang w:eastAsia="pl-PL"/>
        </w:rPr>
        <w:t>Teaching</w:t>
      </w:r>
      <w:proofErr w:type="spellEnd"/>
      <w:r w:rsidRPr="005A6268">
        <w:rPr>
          <w:lang w:eastAsia="pl-PL"/>
        </w:rPr>
        <w:t>/</w:t>
      </w:r>
      <w:proofErr w:type="spellStart"/>
      <w:r w:rsidRPr="005A6268">
        <w:rPr>
          <w:lang w:eastAsia="pl-PL"/>
        </w:rPr>
        <w:t>Training</w:t>
      </w:r>
      <w:proofErr w:type="spellEnd"/>
      <w:r w:rsidRPr="005A6268">
        <w:rPr>
          <w:lang w:eastAsia="pl-PL"/>
        </w:rPr>
        <w:t>, o którym mowa w rozdziale V ust. 2.</w:t>
      </w:r>
    </w:p>
    <w:p w:rsidR="00F12786" w:rsidRPr="00B93F2C" w:rsidRDefault="00794FE6" w:rsidP="00B93F2C">
      <w:pPr>
        <w:pStyle w:val="Nagwek4"/>
        <w:rPr>
          <w:rFonts w:ascii="Arial" w:hAnsi="Arial" w:cs="Arial"/>
          <w:b/>
          <w:i w:val="0"/>
          <w:color w:val="auto"/>
          <w:sz w:val="24"/>
          <w:szCs w:val="24"/>
          <w:lang w:eastAsia="pl-PL"/>
        </w:rPr>
      </w:pPr>
      <w:r w:rsidRPr="00B93F2C">
        <w:rPr>
          <w:rFonts w:ascii="Arial" w:hAnsi="Arial" w:cs="Arial"/>
          <w:b/>
          <w:i w:val="0"/>
          <w:color w:val="auto"/>
          <w:sz w:val="24"/>
          <w:szCs w:val="24"/>
          <w:lang w:eastAsia="pl-PL"/>
        </w:rPr>
        <w:t>Dokumenty</w:t>
      </w:r>
    </w:p>
    <w:p w:rsidR="00F12786" w:rsidRPr="005A6268" w:rsidRDefault="00794FE6" w:rsidP="00F416E0">
      <w:pPr>
        <w:pStyle w:val="Akapitzlist"/>
        <w:numPr>
          <w:ilvl w:val="0"/>
          <w:numId w:val="17"/>
        </w:numPr>
        <w:spacing w:after="120"/>
        <w:rPr>
          <w:lang w:eastAsia="pl-PL"/>
        </w:rPr>
      </w:pPr>
      <w:r w:rsidRPr="005A6268">
        <w:rPr>
          <w:lang w:eastAsia="pl-PL"/>
        </w:rPr>
        <w:t>Zgłoszenie na wyjazd w ramach programu Erasmus+ składa się z dwóch dokumentów: formularza zgłoszeniowego oraz wypełnionego formularza porozumienia o programie nauczania/szkolenia (</w:t>
      </w:r>
      <w:proofErr w:type="spellStart"/>
      <w:r w:rsidRPr="005A6268">
        <w:rPr>
          <w:lang w:eastAsia="pl-PL"/>
        </w:rPr>
        <w:t>Mobility</w:t>
      </w:r>
      <w:proofErr w:type="spellEnd"/>
      <w:r w:rsidRPr="005A6268">
        <w:rPr>
          <w:lang w:eastAsia="pl-PL"/>
        </w:rPr>
        <w:t xml:space="preserve"> </w:t>
      </w:r>
      <w:proofErr w:type="spellStart"/>
      <w:r w:rsidRPr="005A6268">
        <w:rPr>
          <w:lang w:eastAsia="pl-PL"/>
        </w:rPr>
        <w:t>Agreement</w:t>
      </w:r>
      <w:proofErr w:type="spellEnd"/>
      <w:r w:rsidRPr="005A6268">
        <w:rPr>
          <w:lang w:eastAsia="pl-PL"/>
        </w:rPr>
        <w:t xml:space="preserve"> for </w:t>
      </w:r>
      <w:proofErr w:type="spellStart"/>
      <w:r w:rsidRPr="005A6268">
        <w:rPr>
          <w:lang w:eastAsia="pl-PL"/>
        </w:rPr>
        <w:t>Teaching</w:t>
      </w:r>
      <w:proofErr w:type="spellEnd"/>
      <w:r w:rsidRPr="005A6268">
        <w:rPr>
          <w:lang w:eastAsia="pl-PL"/>
        </w:rPr>
        <w:t>/</w:t>
      </w:r>
      <w:proofErr w:type="spellStart"/>
      <w:r w:rsidRPr="005A6268">
        <w:rPr>
          <w:lang w:eastAsia="pl-PL"/>
        </w:rPr>
        <w:t>Training</w:t>
      </w:r>
      <w:proofErr w:type="spellEnd"/>
      <w:r w:rsidRPr="005A6268">
        <w:rPr>
          <w:lang w:eastAsia="pl-PL"/>
        </w:rPr>
        <w:t>).</w:t>
      </w:r>
    </w:p>
    <w:p w:rsidR="00F12786" w:rsidRPr="005A6268" w:rsidRDefault="00794FE6" w:rsidP="00F416E0">
      <w:pPr>
        <w:pStyle w:val="Akapitzlist"/>
        <w:numPr>
          <w:ilvl w:val="0"/>
          <w:numId w:val="17"/>
        </w:numPr>
        <w:spacing w:after="120"/>
        <w:rPr>
          <w:lang w:eastAsia="pl-PL"/>
        </w:rPr>
      </w:pPr>
      <w:r w:rsidRPr="005A6268">
        <w:rPr>
          <w:lang w:eastAsia="pl-PL"/>
        </w:rPr>
        <w:t>Podstawą kwalifikacji na wyjazd jest porozumienie o programie nauczania/szkolenia, podpisane przez instytucję przyjmującą i osobą ubiegająca się o stypendium Erasmus+.</w:t>
      </w:r>
    </w:p>
    <w:p w:rsidR="00F12786" w:rsidRPr="005A6268" w:rsidRDefault="00794FE6" w:rsidP="00F416E0">
      <w:pPr>
        <w:pStyle w:val="Akapitzlist"/>
        <w:numPr>
          <w:ilvl w:val="0"/>
          <w:numId w:val="17"/>
        </w:numPr>
        <w:spacing w:after="120"/>
        <w:rPr>
          <w:lang w:eastAsia="pl-PL"/>
        </w:rPr>
      </w:pPr>
      <w:r w:rsidRPr="005A6268">
        <w:rPr>
          <w:lang w:eastAsia="pl-PL"/>
        </w:rPr>
        <w:t xml:space="preserve">W przypadku niekompletnej dokumentacji zgłoszenie zostanie odrzucone na etapie oceny formalnej. </w:t>
      </w:r>
    </w:p>
    <w:p w:rsidR="00F12786" w:rsidRPr="005A6268" w:rsidRDefault="00794FE6" w:rsidP="00F416E0">
      <w:pPr>
        <w:pStyle w:val="Akapitzlist"/>
        <w:numPr>
          <w:ilvl w:val="0"/>
          <w:numId w:val="17"/>
        </w:numPr>
        <w:spacing w:after="120"/>
        <w:rPr>
          <w:lang w:eastAsia="pl-PL"/>
        </w:rPr>
      </w:pPr>
      <w:r w:rsidRPr="005A6268">
        <w:rPr>
          <w:lang w:eastAsia="pl-PL"/>
        </w:rPr>
        <w:t>Porozumienie o programie nauczania zawiera następujące elementy:</w:t>
      </w:r>
      <w:r w:rsidR="00F12786" w:rsidRPr="005A6268">
        <w:rPr>
          <w:lang w:eastAsia="pl-PL"/>
        </w:rPr>
        <w:t xml:space="preserve"> czas trwania mobilności, dziedzina akademicka (ISCED), </w:t>
      </w:r>
      <w:r w:rsidRPr="005A6268">
        <w:rPr>
          <w:lang w:eastAsia="pl-PL"/>
        </w:rPr>
        <w:t>poziom studiów objętych na</w:t>
      </w:r>
      <w:r w:rsidR="00F12786" w:rsidRPr="005A6268">
        <w:rPr>
          <w:lang w:eastAsia="pl-PL"/>
        </w:rPr>
        <w:t xml:space="preserve">uczaniem w uczelni przyjmującej, </w:t>
      </w:r>
      <w:r w:rsidRPr="005A6268">
        <w:rPr>
          <w:lang w:eastAsia="pl-PL"/>
        </w:rPr>
        <w:t>liczba studentów uczelni przyjmującej, którzy uczestniczyli w zajęciach</w:t>
      </w:r>
      <w:r w:rsidR="00F12786" w:rsidRPr="005A6268">
        <w:rPr>
          <w:lang w:eastAsia="pl-PL"/>
        </w:rPr>
        <w:t xml:space="preserve">, </w:t>
      </w:r>
      <w:r w:rsidRPr="005A6268">
        <w:rPr>
          <w:lang w:eastAsia="pl-PL"/>
        </w:rPr>
        <w:t>liczba zrea</w:t>
      </w:r>
      <w:r w:rsidR="00F12786" w:rsidRPr="005A6268">
        <w:rPr>
          <w:lang w:eastAsia="pl-PL"/>
        </w:rPr>
        <w:t xml:space="preserve">lizowanych godzin dydaktycznych, cel mobilności, </w:t>
      </w:r>
      <w:r w:rsidRPr="005A6268">
        <w:rPr>
          <w:lang w:eastAsia="pl-PL"/>
        </w:rPr>
        <w:t>wartość dodana mobilności (dla obydwu i</w:t>
      </w:r>
      <w:r w:rsidR="00F12786" w:rsidRPr="005A6268">
        <w:rPr>
          <w:lang w:eastAsia="pl-PL"/>
        </w:rPr>
        <w:t xml:space="preserve">nstytucji oraz dla nauczyciela), program nauczania, </w:t>
      </w:r>
      <w:r w:rsidRPr="005A6268">
        <w:rPr>
          <w:lang w:eastAsia="pl-PL"/>
        </w:rPr>
        <w:t>przewidywane rezultaty i wpływ zrealizowanej mobilności (nie tylko liczba studentów, którzy uczestniczyli w zajęciach).</w:t>
      </w:r>
    </w:p>
    <w:p w:rsidR="00794FE6" w:rsidRPr="005A6268" w:rsidRDefault="00794FE6" w:rsidP="00F416E0">
      <w:pPr>
        <w:pStyle w:val="Akapitzlist"/>
        <w:numPr>
          <w:ilvl w:val="0"/>
          <w:numId w:val="17"/>
        </w:numPr>
        <w:spacing w:after="120"/>
        <w:rPr>
          <w:lang w:eastAsia="pl-PL"/>
        </w:rPr>
      </w:pPr>
      <w:r w:rsidRPr="005A6268">
        <w:rPr>
          <w:lang w:eastAsia="pl-PL"/>
        </w:rPr>
        <w:t>Porozumienie o programie szkolen</w:t>
      </w:r>
      <w:r w:rsidR="00F12786" w:rsidRPr="005A6268">
        <w:rPr>
          <w:lang w:eastAsia="pl-PL"/>
        </w:rPr>
        <w:t xml:space="preserve">ia zawiera następujące elementy: czas trwania mobilności, </w:t>
      </w:r>
      <w:r w:rsidRPr="005A6268">
        <w:rPr>
          <w:lang w:eastAsia="pl-PL"/>
        </w:rPr>
        <w:t>cel mobilnoś</w:t>
      </w:r>
      <w:r w:rsidR="00F12786" w:rsidRPr="005A6268">
        <w:rPr>
          <w:lang w:eastAsia="pl-PL"/>
        </w:rPr>
        <w:t xml:space="preserve">ci, </w:t>
      </w:r>
      <w:r w:rsidRPr="005A6268">
        <w:rPr>
          <w:lang w:eastAsia="pl-PL"/>
        </w:rPr>
        <w:t xml:space="preserve">wartość dodana mobilności (dla obydwu </w:t>
      </w:r>
      <w:r w:rsidR="00F12786" w:rsidRPr="005A6268">
        <w:rPr>
          <w:lang w:eastAsia="pl-PL"/>
        </w:rPr>
        <w:t xml:space="preserve">instytucji oraz dla pracownika), </w:t>
      </w:r>
      <w:r w:rsidRPr="005A6268">
        <w:rPr>
          <w:lang w:eastAsia="pl-PL"/>
        </w:rPr>
        <w:t>działania do zrealizowania (ucz</w:t>
      </w:r>
      <w:r w:rsidR="00F12786" w:rsidRPr="005A6268">
        <w:rPr>
          <w:lang w:eastAsia="pl-PL"/>
        </w:rPr>
        <w:t xml:space="preserve">estnik wyjazdu jest zobowiązany </w:t>
      </w:r>
      <w:r w:rsidRPr="005A6268">
        <w:rPr>
          <w:lang w:eastAsia="pl-PL"/>
        </w:rPr>
        <w:t>przedstawić konkretnie zdefiniowany program szkolenia na każdy dzień szkolenia, a z programu tego ma wynikać, że celem udziału w szkoleniu jest podniesienie konkretnie zdefini</w:t>
      </w:r>
      <w:r w:rsidR="00F12786" w:rsidRPr="005A6268">
        <w:rPr>
          <w:lang w:eastAsia="pl-PL"/>
        </w:rPr>
        <w:t xml:space="preserve">owanych kompetencji pracownika), </w:t>
      </w:r>
      <w:r w:rsidRPr="005A6268">
        <w:rPr>
          <w:lang w:eastAsia="pl-PL"/>
        </w:rPr>
        <w:t>przewidywane rezultaty i wpływ zrealizowanej mobilności.</w:t>
      </w:r>
    </w:p>
    <w:p w:rsidR="00F12786" w:rsidRPr="00B93F2C" w:rsidRDefault="00F12786" w:rsidP="00B93F2C">
      <w:pPr>
        <w:pStyle w:val="Nagwek5"/>
        <w:rPr>
          <w:rFonts w:ascii="Arial" w:hAnsi="Arial" w:cs="Arial"/>
          <w:b/>
          <w:color w:val="auto"/>
          <w:lang w:eastAsia="pl-PL"/>
        </w:rPr>
      </w:pPr>
      <w:r w:rsidRPr="00B93F2C">
        <w:rPr>
          <w:rFonts w:ascii="Arial" w:hAnsi="Arial" w:cs="Arial"/>
          <w:b/>
          <w:color w:val="auto"/>
          <w:lang w:eastAsia="pl-PL"/>
        </w:rPr>
        <w:t>Finansowanie</w:t>
      </w:r>
    </w:p>
    <w:p w:rsidR="00F12786" w:rsidRPr="005A6268" w:rsidRDefault="00F12786" w:rsidP="00F416E0">
      <w:pPr>
        <w:pStyle w:val="Akapitzlist"/>
        <w:numPr>
          <w:ilvl w:val="0"/>
          <w:numId w:val="21"/>
        </w:numPr>
        <w:spacing w:after="120"/>
      </w:pPr>
      <w:r w:rsidRPr="005A6268">
        <w:t>Wysokość dofinansowania dla pracowników wynosi:</w:t>
      </w:r>
    </w:p>
    <w:p w:rsidR="00F12786" w:rsidRPr="005A6268" w:rsidRDefault="00F12786" w:rsidP="00F416E0">
      <w:pPr>
        <w:pStyle w:val="Akapitzlist"/>
        <w:spacing w:after="120"/>
        <w:rPr>
          <w:b/>
        </w:rPr>
      </w:pPr>
      <w:r w:rsidRPr="005A6268">
        <w:rPr>
          <w:b/>
        </w:rPr>
        <w:t>Grupa 1 dzienna wartość stypendium 180 euro</w:t>
      </w:r>
    </w:p>
    <w:p w:rsidR="00F12786" w:rsidRPr="005A6268" w:rsidRDefault="00F12786" w:rsidP="00F416E0">
      <w:pPr>
        <w:pStyle w:val="Akapitzlist"/>
        <w:spacing w:after="120"/>
        <w:rPr>
          <w:bCs/>
          <w:lang w:eastAsia="pl-PL"/>
        </w:rPr>
      </w:pPr>
      <w:r w:rsidRPr="005A6268">
        <w:rPr>
          <w:bCs/>
          <w:lang w:eastAsia="pl-PL"/>
        </w:rPr>
        <w:lastRenderedPageBreak/>
        <w:t>Dania, Finlandia, Irlandia, Islandia,  Lichtenstein, Luksemburg, Norwegia, Szwecja, Wielka Brytania</w:t>
      </w:r>
    </w:p>
    <w:p w:rsidR="00F12786" w:rsidRPr="005A6268" w:rsidRDefault="00F12786" w:rsidP="00F416E0">
      <w:pPr>
        <w:pStyle w:val="Akapitzlist"/>
        <w:spacing w:after="120"/>
        <w:rPr>
          <w:b/>
        </w:rPr>
      </w:pPr>
      <w:r w:rsidRPr="005A6268">
        <w:rPr>
          <w:b/>
        </w:rPr>
        <w:t>Grupa 2</w:t>
      </w:r>
      <w:r w:rsidRPr="005A6268">
        <w:t xml:space="preserve"> </w:t>
      </w:r>
      <w:r w:rsidRPr="005A6268">
        <w:rPr>
          <w:b/>
        </w:rPr>
        <w:t>dzienna wartość stypendium 160 euro</w:t>
      </w:r>
    </w:p>
    <w:p w:rsidR="00F12786" w:rsidRPr="005A6268" w:rsidRDefault="00F12786" w:rsidP="00F416E0">
      <w:pPr>
        <w:pStyle w:val="Akapitzlist"/>
        <w:spacing w:after="120"/>
      </w:pPr>
      <w:r w:rsidRPr="005A6268">
        <w:t>Austria, Belgia, Cypr, Francja, Grecja, Hiszpania, Holandia, Malta, Niemcy, Portugalia, Włochy</w:t>
      </w:r>
    </w:p>
    <w:p w:rsidR="00F12786" w:rsidRPr="005A6268" w:rsidRDefault="00F12786" w:rsidP="00F416E0">
      <w:pPr>
        <w:pStyle w:val="Akapitzlist"/>
        <w:spacing w:after="120"/>
        <w:rPr>
          <w:b/>
        </w:rPr>
      </w:pPr>
      <w:r w:rsidRPr="005A6268">
        <w:rPr>
          <w:b/>
        </w:rPr>
        <w:t>Grupa 3 dzienna wartość stypendium 140 euro</w:t>
      </w:r>
    </w:p>
    <w:p w:rsidR="00F12786" w:rsidRPr="005A6268" w:rsidRDefault="00F12786" w:rsidP="00F416E0">
      <w:pPr>
        <w:pStyle w:val="Akapitzlist"/>
        <w:spacing w:after="120"/>
      </w:pPr>
      <w:r w:rsidRPr="005A6268">
        <w:rPr>
          <w:bCs/>
          <w:lang w:eastAsia="pl-PL"/>
        </w:rPr>
        <w:t>Bułgaria, Chorwacja, Czechy, Estonia, Republika  Macedonii Północnej, Litwa, Łotwa, Rumunia, Serbia, Słowenia, Słowacja, Węgry, Turcja, Polska</w:t>
      </w:r>
    </w:p>
    <w:p w:rsidR="00A97AEE" w:rsidRPr="005A6268" w:rsidRDefault="00F12786" w:rsidP="00F416E0">
      <w:pPr>
        <w:pStyle w:val="Akapitzlist"/>
        <w:numPr>
          <w:ilvl w:val="0"/>
          <w:numId w:val="21"/>
        </w:numPr>
        <w:spacing w:after="120"/>
        <w:rPr>
          <w:bCs/>
          <w:lang w:eastAsia="pl-PL"/>
        </w:rPr>
      </w:pPr>
      <w:r w:rsidRPr="005A6268">
        <w:t>Warunkiem realizacji wyjazdu i wypłaty stypendium jest dostarczenie do Działu Nauki i Współpracy z Zagranicą pełnych danych niezbędnych do sporządzenia umowy i wypłaty stypendium, tj.: dane ubezpieczeniowe wraz z kserokopią polisy ubezpieczeniowej oraz dane bankowe (adres banku, numer konta walutowego - euro, SWIFT banku) najpóźniej na 3 tygodnie przed wyjazdem.</w:t>
      </w:r>
    </w:p>
    <w:p w:rsidR="00A97AEE" w:rsidRPr="005A6268" w:rsidRDefault="00F12786" w:rsidP="00F416E0">
      <w:pPr>
        <w:pStyle w:val="Akapitzlist"/>
        <w:numPr>
          <w:ilvl w:val="0"/>
          <w:numId w:val="21"/>
        </w:numPr>
        <w:spacing w:after="120"/>
        <w:rPr>
          <w:bCs/>
          <w:lang w:eastAsia="pl-PL"/>
        </w:rPr>
      </w:pPr>
      <w:r w:rsidRPr="005A6268">
        <w:t>Stypendium będzie wypłacone na podstawie umowy pomiędzy pracownikiem a uczelnią.</w:t>
      </w:r>
    </w:p>
    <w:p w:rsidR="00A97AEE" w:rsidRPr="005A6268" w:rsidRDefault="00F12786" w:rsidP="00F416E0">
      <w:pPr>
        <w:pStyle w:val="Akapitzlist"/>
        <w:numPr>
          <w:ilvl w:val="0"/>
          <w:numId w:val="21"/>
        </w:numPr>
        <w:spacing w:after="120"/>
        <w:rPr>
          <w:bCs/>
          <w:lang w:eastAsia="pl-PL"/>
        </w:rPr>
      </w:pPr>
      <w:r w:rsidRPr="005A6268">
        <w:t>Stypendium zostanie naliczone w oparciu o zadeklarowany czas trwania mobilności w porozumieniu o programie nauczania/szkolenia.</w:t>
      </w:r>
    </w:p>
    <w:p w:rsidR="00A97AEE" w:rsidRPr="005A6268" w:rsidRDefault="00F12786" w:rsidP="00F416E0">
      <w:pPr>
        <w:pStyle w:val="Akapitzlist"/>
        <w:numPr>
          <w:ilvl w:val="0"/>
          <w:numId w:val="21"/>
        </w:numPr>
        <w:spacing w:after="120"/>
        <w:rPr>
          <w:bCs/>
          <w:lang w:eastAsia="pl-PL"/>
        </w:rPr>
      </w:pPr>
      <w:r w:rsidRPr="005A6268">
        <w:t xml:space="preserve">Kwota stypendium (100%) zostanie wypłacona pracownikowi przed wyjazdem na wskazany przez niego rachunek bankowy. </w:t>
      </w:r>
    </w:p>
    <w:p w:rsidR="00A97AEE" w:rsidRPr="005A6268" w:rsidRDefault="00F12786" w:rsidP="00F416E0">
      <w:pPr>
        <w:pStyle w:val="Akapitzlist"/>
        <w:numPr>
          <w:ilvl w:val="0"/>
          <w:numId w:val="21"/>
        </w:numPr>
        <w:spacing w:after="120"/>
        <w:rPr>
          <w:bCs/>
          <w:lang w:eastAsia="pl-PL"/>
        </w:rPr>
      </w:pPr>
      <w:r w:rsidRPr="005A6268">
        <w:t xml:space="preserve">Po zakończeniu mobilności wysokość stypendium określona w umowie finansowej pomiędzy uczelnią a uczestnikiem mobilności nie ulega zwiększeniu, a ostateczna wysokość dofinansowania zostanie określona na podstawie zaświadczenia potwierdzającego czas pobytu za granicą. </w:t>
      </w:r>
    </w:p>
    <w:p w:rsidR="00A97AEE" w:rsidRPr="005A6268" w:rsidRDefault="00F12786" w:rsidP="00F416E0">
      <w:pPr>
        <w:pStyle w:val="Akapitzlist"/>
        <w:numPr>
          <w:ilvl w:val="0"/>
          <w:numId w:val="21"/>
        </w:numPr>
        <w:spacing w:after="120"/>
        <w:rPr>
          <w:bCs/>
          <w:lang w:eastAsia="pl-PL"/>
        </w:rPr>
      </w:pPr>
      <w:r w:rsidRPr="005A6268">
        <w:t xml:space="preserve">Przyznana kwota jest przeznaczona na dofinansowanie wyjazdu i ma charakter stypendium. </w:t>
      </w:r>
    </w:p>
    <w:p w:rsidR="00A97AEE" w:rsidRPr="005A6268" w:rsidRDefault="00F12786" w:rsidP="00F416E0">
      <w:pPr>
        <w:pStyle w:val="Akapitzlist"/>
        <w:numPr>
          <w:ilvl w:val="0"/>
          <w:numId w:val="21"/>
        </w:numPr>
        <w:spacing w:after="120"/>
        <w:rPr>
          <w:bCs/>
          <w:lang w:eastAsia="pl-PL"/>
        </w:rPr>
      </w:pPr>
      <w:r w:rsidRPr="005A6268">
        <w:t>Wyjazdy rozliczane są z dokładnością do jednego dnia. Daty pobytu, potwierdzone przez uczelnię przyjmującą muszą być zgodne z data</w:t>
      </w:r>
      <w:r w:rsidR="00A97AEE" w:rsidRPr="005A6268">
        <w:t xml:space="preserve">mi podanymi w umowie finansowej </w:t>
      </w:r>
      <w:r w:rsidRPr="005A6268">
        <w:t>i okresem, na jaki zostało przyznane dofinansowanie.</w:t>
      </w:r>
    </w:p>
    <w:p w:rsidR="00481786" w:rsidRPr="005A6268" w:rsidRDefault="00F12786" w:rsidP="00F416E0">
      <w:pPr>
        <w:pStyle w:val="Akapitzlist"/>
        <w:numPr>
          <w:ilvl w:val="0"/>
          <w:numId w:val="21"/>
        </w:numPr>
        <w:spacing w:after="120"/>
        <w:rPr>
          <w:bCs/>
          <w:lang w:eastAsia="pl-PL"/>
        </w:rPr>
      </w:pPr>
      <w:r w:rsidRPr="005A6268">
        <w:t>W celu rozliczenia stypendium w programie Erasmus+, pracownik jest zobowiązany dostarczyć do Działu Nauki i Współpracy z Zagranicą:</w:t>
      </w:r>
      <w:r w:rsidR="00E605D0" w:rsidRPr="005A6268">
        <w:t xml:space="preserve"> </w:t>
      </w:r>
      <w:r w:rsidRPr="005A6268">
        <w:t>program nauczania/szkolenia w zagranicznej uczelni przyjmującej (</w:t>
      </w:r>
      <w:proofErr w:type="spellStart"/>
      <w:r w:rsidRPr="005A6268">
        <w:t>Mobility</w:t>
      </w:r>
      <w:proofErr w:type="spellEnd"/>
      <w:r w:rsidRPr="005A6268">
        <w:t xml:space="preserve"> </w:t>
      </w:r>
      <w:proofErr w:type="spellStart"/>
      <w:r w:rsidRPr="005A6268">
        <w:t>Agreement</w:t>
      </w:r>
      <w:proofErr w:type="spellEnd"/>
      <w:r w:rsidRPr="005A6268">
        <w:t xml:space="preserve"> for </w:t>
      </w:r>
      <w:proofErr w:type="spellStart"/>
      <w:r w:rsidRPr="005A6268">
        <w:t>Teaching</w:t>
      </w:r>
      <w:proofErr w:type="spellEnd"/>
      <w:r w:rsidRPr="005A6268">
        <w:t>/</w:t>
      </w:r>
      <w:proofErr w:type="spellStart"/>
      <w:r w:rsidRPr="005A6268">
        <w:t>Training</w:t>
      </w:r>
      <w:proofErr w:type="spellEnd"/>
      <w:r w:rsidRPr="005A6268">
        <w:t xml:space="preserve"> oryginał lub skan dokumentu podpisanego p</w:t>
      </w:r>
      <w:r w:rsidR="00E605D0" w:rsidRPr="005A6268">
        <w:t xml:space="preserve">rzez trzy strony (dokument jest </w:t>
      </w:r>
      <w:r w:rsidRPr="005A6268">
        <w:t>podpisywany oryginalnie przez prorektora ds. nauki i pracownika);</w:t>
      </w:r>
      <w:r w:rsidR="00E605D0" w:rsidRPr="005A6268">
        <w:t xml:space="preserve"> z</w:t>
      </w:r>
      <w:r w:rsidRPr="005A6268">
        <w:t>aświadczenie o zrealizowaniu programu nauczania/szkolenia</w:t>
      </w:r>
      <w:r w:rsidR="00E605D0" w:rsidRPr="005A6268">
        <w:t xml:space="preserve"> zawierające datę rozpoczęcia i </w:t>
      </w:r>
      <w:r w:rsidRPr="005A6268">
        <w:t>zakończenia pobytu, cel pobytu oraz lic</w:t>
      </w:r>
      <w:r w:rsidR="00E605D0" w:rsidRPr="005A6268">
        <w:t xml:space="preserve">zbę zrealizowanych godzin zajęć </w:t>
      </w:r>
      <w:r w:rsidRPr="005A6268">
        <w:t>dydaktycznych lub w przypadku szkolenia</w:t>
      </w:r>
      <w:r w:rsidR="00E605D0" w:rsidRPr="005A6268">
        <w:t>,</w:t>
      </w:r>
      <w:r w:rsidRPr="005A6268">
        <w:t xml:space="preserve"> zrealiz</w:t>
      </w:r>
      <w:r w:rsidR="00E605D0" w:rsidRPr="005A6268">
        <w:t>owanie programu szkolenia (</w:t>
      </w:r>
      <w:r w:rsidRPr="005A6268">
        <w:t>oryginał lub skan podpisany przez instytucję przyjmującą</w:t>
      </w:r>
      <w:r w:rsidR="00E605D0" w:rsidRPr="005A6268">
        <w:t xml:space="preserve">); ankietę on-line </w:t>
      </w:r>
      <w:r w:rsidRPr="005A6268">
        <w:t>Stypendysty Erasmus+.</w:t>
      </w:r>
    </w:p>
    <w:p w:rsidR="001C4A12" w:rsidRDefault="001C4A12" w:rsidP="00F416E0">
      <w:pPr>
        <w:spacing w:after="120"/>
      </w:pPr>
      <w:r>
        <w:t>Rektor</w:t>
      </w:r>
    </w:p>
    <w:p w:rsidR="001C4A12" w:rsidRDefault="00E605D0" w:rsidP="00F416E0">
      <w:pPr>
        <w:spacing w:after="120"/>
      </w:pPr>
      <w:r w:rsidRPr="005A6268">
        <w:t xml:space="preserve">dr hab. Tamara </w:t>
      </w:r>
      <w:proofErr w:type="spellStart"/>
      <w:r w:rsidRPr="005A6268">
        <w:t>Zacharuk</w:t>
      </w:r>
      <w:bookmarkStart w:id="0" w:name="_GoBack"/>
      <w:bookmarkEnd w:id="0"/>
      <w:proofErr w:type="spellEnd"/>
    </w:p>
    <w:p w:rsidR="0067541F" w:rsidRDefault="00F12786" w:rsidP="00F416E0">
      <w:pPr>
        <w:spacing w:after="120"/>
      </w:pPr>
      <w:r w:rsidRPr="005A6268">
        <w:t>profesor nadzwyczajny</w:t>
      </w:r>
    </w:p>
    <w:p w:rsidR="0044523F" w:rsidRPr="001C4A12" w:rsidRDefault="0044523F" w:rsidP="00F416E0">
      <w:pPr>
        <w:spacing w:after="120"/>
      </w:pPr>
    </w:p>
    <w:p w:rsidR="006755A7" w:rsidRPr="005A6268" w:rsidRDefault="0067541F" w:rsidP="00F416E0">
      <w:pPr>
        <w:spacing w:after="120"/>
        <w:rPr>
          <w:b/>
        </w:rPr>
      </w:pPr>
      <w:r w:rsidRPr="005A6268">
        <w:rPr>
          <w:b/>
        </w:rPr>
        <w:lastRenderedPageBreak/>
        <w:t>Załącznik Nr 3 do Zarządzenia Rektora Nr</w:t>
      </w:r>
      <w:r w:rsidR="0044523F">
        <w:rPr>
          <w:b/>
        </w:rPr>
        <w:t xml:space="preserve"> 57</w:t>
      </w:r>
      <w:r w:rsidRPr="005A6268">
        <w:rPr>
          <w:b/>
        </w:rPr>
        <w:t>/2020</w:t>
      </w:r>
    </w:p>
    <w:p w:rsidR="0067541F" w:rsidRPr="00B93F2C" w:rsidRDefault="0067541F" w:rsidP="00B93F2C">
      <w:pPr>
        <w:pStyle w:val="Nagwek6"/>
        <w:rPr>
          <w:rFonts w:ascii="Arial" w:hAnsi="Arial" w:cs="Arial"/>
          <w:b/>
          <w:color w:val="auto"/>
        </w:rPr>
      </w:pPr>
      <w:r w:rsidRPr="00B93F2C">
        <w:rPr>
          <w:rFonts w:ascii="Arial" w:hAnsi="Arial" w:cs="Arial"/>
          <w:b/>
          <w:color w:val="auto"/>
        </w:rPr>
        <w:t>Zadania koordynatorów  Programu Erasmus+</w:t>
      </w:r>
    </w:p>
    <w:p w:rsidR="00481786" w:rsidRPr="005A6268" w:rsidRDefault="00481786" w:rsidP="00F416E0">
      <w:pPr>
        <w:spacing w:after="120"/>
        <w:rPr>
          <w:b/>
        </w:rPr>
      </w:pPr>
      <w:r w:rsidRPr="005A6268">
        <w:rPr>
          <w:b/>
        </w:rPr>
        <w:t>Do zadań Koordynatora Uczelnianego w szczególności należy:</w:t>
      </w:r>
    </w:p>
    <w:p w:rsidR="00481786" w:rsidRPr="005A6268" w:rsidRDefault="00481786" w:rsidP="00F416E0">
      <w:pPr>
        <w:pStyle w:val="Akapitzlist"/>
        <w:numPr>
          <w:ilvl w:val="0"/>
          <w:numId w:val="23"/>
        </w:numPr>
        <w:spacing w:after="120"/>
      </w:pPr>
      <w:r w:rsidRPr="005A6268">
        <w:t>Bieżąca współpraca z  Narodową Agencją i Komisją Europejską, dotycząca realizacji programu Erasmus+.</w:t>
      </w:r>
    </w:p>
    <w:p w:rsidR="00481786" w:rsidRPr="005A6268" w:rsidRDefault="00481786" w:rsidP="00F416E0">
      <w:pPr>
        <w:pStyle w:val="Akapitzlist"/>
        <w:numPr>
          <w:ilvl w:val="0"/>
          <w:numId w:val="23"/>
        </w:numPr>
        <w:spacing w:after="120"/>
        <w:ind w:left="714" w:hanging="357"/>
      </w:pPr>
      <w:r w:rsidRPr="005A6268">
        <w:t>Informowanie społeczności akademickiej o możliwościach i zasadach udziału w programie Erasmus+, Akcja 1 Mobilność Edukacyjna, projekt KA 103: kraje programu.</w:t>
      </w:r>
    </w:p>
    <w:p w:rsidR="00481786" w:rsidRPr="005A6268" w:rsidRDefault="00481786" w:rsidP="00F416E0">
      <w:pPr>
        <w:pStyle w:val="Akapitzlist"/>
        <w:numPr>
          <w:ilvl w:val="0"/>
          <w:numId w:val="23"/>
        </w:numPr>
        <w:spacing w:after="120"/>
        <w:ind w:left="714" w:hanging="357"/>
      </w:pPr>
      <w:r w:rsidRPr="005A6268">
        <w:t>Opracowywanie projektów dokumentów związanych z realizacją współpracy z Narodową Agencją i Komisją Europejską oraz uczelniami partnerskimi.</w:t>
      </w:r>
    </w:p>
    <w:p w:rsidR="00481786" w:rsidRPr="005A6268" w:rsidRDefault="00481786" w:rsidP="00F416E0">
      <w:pPr>
        <w:pStyle w:val="Akapitzlist"/>
        <w:numPr>
          <w:ilvl w:val="0"/>
          <w:numId w:val="23"/>
        </w:numPr>
        <w:spacing w:after="120"/>
        <w:ind w:left="714" w:hanging="357"/>
      </w:pPr>
      <w:r w:rsidRPr="005A6268">
        <w:t>Sporządzanie raportów i sprawozdań z funkcjonowania programu.</w:t>
      </w:r>
    </w:p>
    <w:p w:rsidR="00481786" w:rsidRPr="005A6268" w:rsidRDefault="00481786" w:rsidP="00F416E0">
      <w:pPr>
        <w:pStyle w:val="Akapitzlist"/>
        <w:numPr>
          <w:ilvl w:val="0"/>
          <w:numId w:val="23"/>
        </w:numPr>
        <w:spacing w:after="120"/>
        <w:ind w:left="714" w:hanging="357"/>
      </w:pPr>
      <w:r w:rsidRPr="005A6268">
        <w:t>Współpraca z instytutowymi koordynatorami programu Erasmus+, dyrektorami instytutów, prorektorem ds. nauki i prorektorem ds. studiów w sprawach związanych z realizacją działań w ramach programu Erasmus+, akcja 1, projekt AK 103: kraje programu.</w:t>
      </w:r>
    </w:p>
    <w:p w:rsidR="00481786" w:rsidRPr="005A6268" w:rsidRDefault="00481786" w:rsidP="00F416E0">
      <w:pPr>
        <w:pStyle w:val="Akapitzlist"/>
        <w:numPr>
          <w:ilvl w:val="0"/>
          <w:numId w:val="23"/>
        </w:numPr>
        <w:spacing w:after="120"/>
      </w:pPr>
      <w:r w:rsidRPr="005A6268">
        <w:t>Udział w pracach komisji uczelnianej ds. programu  Erasmus+ związanych z rekrutacją studentów i wykładowców oraz podziałem funduszy otrzymywanych z Narodowej Agencji na stypendia dla studentów i wykładowców programu Erasmus+.</w:t>
      </w:r>
    </w:p>
    <w:p w:rsidR="00481786" w:rsidRPr="005A6268" w:rsidRDefault="00481786" w:rsidP="00F416E0">
      <w:pPr>
        <w:spacing w:after="120"/>
        <w:rPr>
          <w:b/>
        </w:rPr>
      </w:pPr>
      <w:r w:rsidRPr="005A6268">
        <w:rPr>
          <w:b/>
        </w:rPr>
        <w:t>Do zadań instytutowych koordynatorów programu Erasmus+ w szczególności należy:</w:t>
      </w:r>
    </w:p>
    <w:p w:rsidR="00481786" w:rsidRPr="005A6268" w:rsidRDefault="00481786" w:rsidP="00F416E0">
      <w:pPr>
        <w:pStyle w:val="Akapitzlist"/>
        <w:numPr>
          <w:ilvl w:val="0"/>
          <w:numId w:val="24"/>
        </w:numPr>
        <w:spacing w:after="120"/>
      </w:pPr>
      <w:r w:rsidRPr="005A6268">
        <w:t>Inicjowanie zawierania umów z partnerami zagranicznymi.</w:t>
      </w:r>
    </w:p>
    <w:p w:rsidR="00481786" w:rsidRPr="005A6268" w:rsidRDefault="00481786" w:rsidP="00F416E0">
      <w:pPr>
        <w:pStyle w:val="Akapitzlist"/>
        <w:numPr>
          <w:ilvl w:val="0"/>
          <w:numId w:val="24"/>
        </w:numPr>
        <w:spacing w:after="120"/>
      </w:pPr>
      <w:r w:rsidRPr="005A6268">
        <w:t>Prowadzenie działalności informacyjnej dotyczącej celów, możliwości i zasad organizacyjnych programu Erasmus+ wśród pracowników i studentów instytutu.</w:t>
      </w:r>
    </w:p>
    <w:p w:rsidR="00481786" w:rsidRPr="005A6268" w:rsidRDefault="00481786" w:rsidP="00F416E0">
      <w:pPr>
        <w:pStyle w:val="Akapitzlist"/>
        <w:numPr>
          <w:ilvl w:val="0"/>
          <w:numId w:val="24"/>
        </w:numPr>
        <w:spacing w:after="120"/>
      </w:pPr>
      <w:r w:rsidRPr="005A6268">
        <w:t>Nadzorowanie przebiegu realizacji wymiany międzynarodowej w ramach programu Erasmus+ w instytucie.</w:t>
      </w:r>
    </w:p>
    <w:p w:rsidR="00481786" w:rsidRPr="005A6268" w:rsidRDefault="00481786" w:rsidP="00F416E0">
      <w:pPr>
        <w:pStyle w:val="Akapitzlist"/>
        <w:numPr>
          <w:ilvl w:val="0"/>
          <w:numId w:val="24"/>
        </w:numPr>
        <w:spacing w:after="120"/>
      </w:pPr>
      <w:r w:rsidRPr="005A6268">
        <w:t>Współpraca z koordynatorem uczelnianym i dyrekcją instytutów UPH oraz z koordynatorami instytutowymi w zakresie organizacji wymiany.</w:t>
      </w:r>
    </w:p>
    <w:p w:rsidR="00481786" w:rsidRPr="005A6268" w:rsidRDefault="00481786" w:rsidP="00F416E0">
      <w:pPr>
        <w:pStyle w:val="Akapitzlist"/>
        <w:numPr>
          <w:ilvl w:val="0"/>
          <w:numId w:val="24"/>
        </w:numPr>
        <w:spacing w:after="120"/>
      </w:pPr>
      <w:r w:rsidRPr="005A6268">
        <w:t>Udział w pracach komisji uczelnianej ds. programu  Erasmus+ związanych z rekrutacją studentów i wykładowców oraz rozdziałem funduszy otrzymywanych z Narodowej Agencji na stypendia dla studentów i wykładowców.</w:t>
      </w:r>
    </w:p>
    <w:p w:rsidR="00481786" w:rsidRPr="005A6268" w:rsidRDefault="00481786" w:rsidP="00F416E0">
      <w:pPr>
        <w:spacing w:after="120"/>
        <w:rPr>
          <w:b/>
        </w:rPr>
      </w:pPr>
      <w:r w:rsidRPr="005A6268">
        <w:rPr>
          <w:b/>
        </w:rPr>
        <w:t xml:space="preserve">Załącznik Nr </w:t>
      </w:r>
      <w:r w:rsidR="0044523F">
        <w:rPr>
          <w:b/>
        </w:rPr>
        <w:t>4</w:t>
      </w:r>
      <w:r w:rsidRPr="005A6268">
        <w:rPr>
          <w:b/>
        </w:rPr>
        <w:t xml:space="preserve"> do Zarządzenia Rektora Nr/2020</w:t>
      </w:r>
    </w:p>
    <w:p w:rsidR="00165456" w:rsidRPr="00B93F2C" w:rsidRDefault="00481786" w:rsidP="00B93F2C">
      <w:pPr>
        <w:pStyle w:val="Nagwek7"/>
        <w:rPr>
          <w:rFonts w:ascii="Arial" w:hAnsi="Arial" w:cs="Arial"/>
          <w:b/>
          <w:i w:val="0"/>
          <w:color w:val="auto"/>
        </w:rPr>
      </w:pPr>
      <w:r w:rsidRPr="00B93F2C">
        <w:rPr>
          <w:rFonts w:ascii="Arial" w:hAnsi="Arial" w:cs="Arial"/>
          <w:b/>
          <w:i w:val="0"/>
          <w:color w:val="auto"/>
        </w:rPr>
        <w:t>Zasady wykorzystania OS</w:t>
      </w:r>
      <w:r w:rsidR="00706991" w:rsidRPr="00B93F2C">
        <w:rPr>
          <w:rFonts w:ascii="Arial" w:hAnsi="Arial" w:cs="Arial"/>
          <w:b/>
          <w:i w:val="0"/>
          <w:color w:val="auto"/>
        </w:rPr>
        <w:t xml:space="preserve"> </w:t>
      </w:r>
      <w:r w:rsidRPr="00B93F2C">
        <w:rPr>
          <w:rFonts w:ascii="Arial" w:hAnsi="Arial" w:cs="Arial"/>
          <w:b/>
          <w:i w:val="0"/>
          <w:color w:val="auto"/>
        </w:rPr>
        <w:t>w ramach programu Erasmus+</w:t>
      </w:r>
    </w:p>
    <w:p w:rsidR="00706991" w:rsidRPr="005A6268" w:rsidRDefault="00706991" w:rsidP="00F416E0">
      <w:pPr>
        <w:spacing w:after="120"/>
        <w:rPr>
          <w:lang w:eastAsia="pl-PL"/>
        </w:rPr>
      </w:pPr>
      <w:r w:rsidRPr="005A6268">
        <w:rPr>
          <w:lang w:eastAsia="pl-PL"/>
        </w:rPr>
        <w:t xml:space="preserve">Dofinansowanie na wsparcie organizacyjne stanowi wkład we </w:t>
      </w:r>
      <w:r w:rsidR="000F3F63">
        <w:rPr>
          <w:lang w:eastAsia="pl-PL"/>
        </w:rPr>
        <w:t xml:space="preserve">wszelkie koszty ponoszone na </w:t>
      </w:r>
      <w:r w:rsidRPr="005A6268">
        <w:rPr>
          <w:lang w:eastAsia="pl-PL"/>
        </w:rPr>
        <w:t>działania wspierające mobilność studentów i pracowników,</w:t>
      </w:r>
      <w:r w:rsidR="0044523F">
        <w:rPr>
          <w:lang w:eastAsia="pl-PL"/>
        </w:rPr>
        <w:t xml:space="preserve"> zarówno przyjeżdżających, jak </w:t>
      </w:r>
      <w:r w:rsidRPr="005A6268">
        <w:rPr>
          <w:lang w:eastAsia="pl-PL"/>
        </w:rPr>
        <w:t>i wyjeżdżających, zgodnie z zasadami zawartymi w Karcie Erasmusa dla szkolnictwa wyższego w krajach programu. Wsparcie może obejmować:</w:t>
      </w:r>
    </w:p>
    <w:p w:rsidR="00706991" w:rsidRPr="005A6268" w:rsidRDefault="00706991" w:rsidP="00F416E0">
      <w:pPr>
        <w:pStyle w:val="Akapitzlist"/>
        <w:numPr>
          <w:ilvl w:val="0"/>
          <w:numId w:val="26"/>
        </w:numPr>
        <w:spacing w:after="120"/>
        <w:rPr>
          <w:lang w:eastAsia="pl-PL"/>
        </w:rPr>
      </w:pPr>
      <w:r w:rsidRPr="005A6268">
        <w:rPr>
          <w:lang w:eastAsia="pl-PL"/>
        </w:rPr>
        <w:t>ustalenia organizacyjne z instytucjami partnerskimi, obejmujące wizyty u potencjalnych partnerów, dotyczące zgody na warunki porozumień międzyinstytucjonalnych w odniesieniu do wyboru, przygotowania, przyjęcia i integracji uczestników projektu mobilności oraz aktualizowania tych porozumień;</w:t>
      </w:r>
    </w:p>
    <w:p w:rsidR="00706991" w:rsidRPr="005A6268" w:rsidRDefault="00706991" w:rsidP="00F416E0">
      <w:pPr>
        <w:pStyle w:val="Akapitzlist"/>
        <w:numPr>
          <w:ilvl w:val="0"/>
          <w:numId w:val="26"/>
        </w:numPr>
        <w:spacing w:after="120"/>
        <w:rPr>
          <w:lang w:eastAsia="pl-PL"/>
        </w:rPr>
      </w:pPr>
      <w:r w:rsidRPr="005A6268">
        <w:rPr>
          <w:lang w:eastAsia="pl-PL"/>
        </w:rPr>
        <w:lastRenderedPageBreak/>
        <w:t>udostępnienie studentom zagranicznym aktualnych katalogów zajęć;</w:t>
      </w:r>
    </w:p>
    <w:p w:rsidR="00706991" w:rsidRPr="005A6268" w:rsidRDefault="00706991" w:rsidP="00F416E0">
      <w:pPr>
        <w:pStyle w:val="Akapitzlist"/>
        <w:numPr>
          <w:ilvl w:val="0"/>
          <w:numId w:val="26"/>
        </w:numPr>
        <w:spacing w:after="120"/>
        <w:rPr>
          <w:lang w:eastAsia="pl-PL"/>
        </w:rPr>
      </w:pPr>
      <w:r w:rsidRPr="005A6268">
        <w:rPr>
          <w:lang w:eastAsia="pl-PL"/>
        </w:rPr>
        <w:t>udostępnienie studentom i pracownikom informacji oraz zapewnienie pomocy;</w:t>
      </w:r>
    </w:p>
    <w:p w:rsidR="00706991" w:rsidRPr="005A6268" w:rsidRDefault="00706991" w:rsidP="00F416E0">
      <w:pPr>
        <w:pStyle w:val="Akapitzlist"/>
        <w:numPr>
          <w:ilvl w:val="0"/>
          <w:numId w:val="26"/>
        </w:numPr>
        <w:spacing w:after="120"/>
        <w:rPr>
          <w:lang w:eastAsia="pl-PL"/>
        </w:rPr>
      </w:pPr>
      <w:r w:rsidRPr="005A6268">
        <w:rPr>
          <w:lang w:eastAsia="pl-PL"/>
        </w:rPr>
        <w:t xml:space="preserve">dokonywanie wyboru studentów i pracowników; </w:t>
      </w:r>
    </w:p>
    <w:p w:rsidR="00706991" w:rsidRPr="005A6268" w:rsidRDefault="00706991" w:rsidP="00F416E0">
      <w:pPr>
        <w:pStyle w:val="Akapitzlist"/>
        <w:numPr>
          <w:ilvl w:val="0"/>
          <w:numId w:val="26"/>
        </w:numPr>
        <w:spacing w:after="120"/>
        <w:rPr>
          <w:lang w:eastAsia="pl-PL"/>
        </w:rPr>
      </w:pPr>
      <w:r w:rsidRPr="005A6268">
        <w:rPr>
          <w:lang w:eastAsia="pl-PL"/>
        </w:rPr>
        <w:t>przygotowanie porozumień o programie studiów/praktyki w celu zapewnienia pełnego uznania wszystkich elementów programu studiów/pra</w:t>
      </w:r>
      <w:r w:rsidR="0044523F">
        <w:rPr>
          <w:lang w:eastAsia="pl-PL"/>
        </w:rPr>
        <w:t xml:space="preserve">ktyki studentów, przygotowanie </w:t>
      </w:r>
      <w:r w:rsidRPr="005A6268">
        <w:rPr>
          <w:lang w:eastAsia="pl-PL"/>
        </w:rPr>
        <w:t xml:space="preserve">i uznawanie indywidualnych programów nauczania/szkolenia w przypadku wyjazdów pracowników; </w:t>
      </w:r>
    </w:p>
    <w:p w:rsidR="00706991" w:rsidRPr="005A6268" w:rsidRDefault="00706991" w:rsidP="00F416E0">
      <w:pPr>
        <w:pStyle w:val="Akapitzlist"/>
        <w:numPr>
          <w:ilvl w:val="0"/>
          <w:numId w:val="26"/>
        </w:numPr>
        <w:spacing w:after="120"/>
        <w:rPr>
          <w:lang w:eastAsia="pl-PL"/>
        </w:rPr>
      </w:pPr>
      <w:r w:rsidRPr="005A6268">
        <w:rPr>
          <w:lang w:eastAsia="pl-PL"/>
        </w:rPr>
        <w:t xml:space="preserve">przygotowanie językowe i międzykulturowe zapewniane studentom i pracownikom zarówno przyjeżdżającym, jak i wyjeżdżającym, uzupełniające Wsparcie Językowe Online Erasmus+; </w:t>
      </w:r>
    </w:p>
    <w:p w:rsidR="00706991" w:rsidRPr="005A6268" w:rsidRDefault="00706991" w:rsidP="00F416E0">
      <w:pPr>
        <w:pStyle w:val="Akapitzlist"/>
        <w:numPr>
          <w:ilvl w:val="0"/>
          <w:numId w:val="26"/>
        </w:numPr>
        <w:spacing w:after="120"/>
        <w:rPr>
          <w:lang w:eastAsia="pl-PL"/>
        </w:rPr>
      </w:pPr>
      <w:r w:rsidRPr="005A6268">
        <w:rPr>
          <w:lang w:eastAsia="pl-PL"/>
        </w:rPr>
        <w:t xml:space="preserve">ułatwienie integracji nowym uczestnikom projektu mobilności w instytucji szkolnictwa wyższego; </w:t>
      </w:r>
    </w:p>
    <w:p w:rsidR="00706991" w:rsidRPr="005A6268" w:rsidRDefault="00706991" w:rsidP="00F416E0">
      <w:pPr>
        <w:pStyle w:val="Akapitzlist"/>
        <w:numPr>
          <w:ilvl w:val="0"/>
          <w:numId w:val="26"/>
        </w:numPr>
        <w:spacing w:after="120"/>
        <w:rPr>
          <w:lang w:eastAsia="pl-PL"/>
        </w:rPr>
      </w:pPr>
      <w:r w:rsidRPr="005A6268">
        <w:rPr>
          <w:lang w:eastAsia="pl-PL"/>
        </w:rPr>
        <w:t xml:space="preserve">zapewnienie efektywnej opieki pedagogicznej i nadzoru w odniesieniu do uczestników projektu mobilności; </w:t>
      </w:r>
    </w:p>
    <w:p w:rsidR="00706991" w:rsidRPr="005A6268" w:rsidRDefault="00706991" w:rsidP="00F416E0">
      <w:pPr>
        <w:pStyle w:val="Akapitzlist"/>
        <w:numPr>
          <w:ilvl w:val="0"/>
          <w:numId w:val="26"/>
        </w:numPr>
        <w:spacing w:after="120"/>
        <w:rPr>
          <w:lang w:eastAsia="pl-PL"/>
        </w:rPr>
      </w:pPr>
      <w:r w:rsidRPr="005A6268">
        <w:rPr>
          <w:lang w:eastAsia="pl-PL"/>
        </w:rPr>
        <w:t xml:space="preserve">szczegółowe ustalenia mające na celu zapewnienie wysokiej jakości praktyk studenckich w przedsiębiorstwach; </w:t>
      </w:r>
    </w:p>
    <w:p w:rsidR="00706991" w:rsidRPr="005A6268" w:rsidRDefault="00706991" w:rsidP="00F416E0">
      <w:pPr>
        <w:pStyle w:val="Akapitzlist"/>
        <w:numPr>
          <w:ilvl w:val="0"/>
          <w:numId w:val="26"/>
        </w:numPr>
        <w:spacing w:after="120"/>
        <w:rPr>
          <w:lang w:eastAsia="pl-PL"/>
        </w:rPr>
      </w:pPr>
      <w:r w:rsidRPr="005A6268">
        <w:rPr>
          <w:lang w:eastAsia="pl-PL"/>
        </w:rPr>
        <w:t>zapewnienie uznawania poszczególnych elemen</w:t>
      </w:r>
      <w:r w:rsidR="0044523F">
        <w:rPr>
          <w:lang w:eastAsia="pl-PL"/>
        </w:rPr>
        <w:t xml:space="preserve">tów programu studiów studentów </w:t>
      </w:r>
      <w:r w:rsidRPr="005A6268">
        <w:rPr>
          <w:lang w:eastAsia="pl-PL"/>
        </w:rPr>
        <w:t xml:space="preserve">i związanych z nimi punktów zaliczeniowych, wydawanie wykazu zaliczeń i suplementów do dyplomu; </w:t>
      </w:r>
    </w:p>
    <w:p w:rsidR="00706991" w:rsidRPr="005A6268" w:rsidRDefault="00706991" w:rsidP="00F416E0">
      <w:pPr>
        <w:pStyle w:val="Akapitzlist"/>
        <w:numPr>
          <w:ilvl w:val="0"/>
          <w:numId w:val="26"/>
        </w:numPr>
        <w:spacing w:after="120"/>
        <w:rPr>
          <w:lang w:eastAsia="pl-PL"/>
        </w:rPr>
      </w:pPr>
      <w:r w:rsidRPr="005A6268">
        <w:rPr>
          <w:lang w:eastAsia="pl-PL"/>
        </w:rPr>
        <w:t>wsparcie reintegracji uczestników projektu mobilności i wykorzystywanie zdobytych przez nich nowych kompetencji na korzyść danej instytucji szkolnictwa wyższego i osób w niej studiujących.</w:t>
      </w:r>
    </w:p>
    <w:p w:rsidR="00706991" w:rsidRPr="005A6268" w:rsidRDefault="00706991" w:rsidP="00F416E0">
      <w:pPr>
        <w:spacing w:after="120"/>
        <w:rPr>
          <w:lang w:eastAsia="pl-PL"/>
        </w:rPr>
      </w:pPr>
      <w:r w:rsidRPr="005A6268">
        <w:rPr>
          <w:lang w:eastAsia="pl-PL"/>
        </w:rPr>
        <w:t xml:space="preserve">Ponadto, środki OS będą przeznaczane na: </w:t>
      </w:r>
    </w:p>
    <w:p w:rsidR="00706991" w:rsidRPr="005A6268" w:rsidRDefault="00706991" w:rsidP="00F416E0">
      <w:pPr>
        <w:pStyle w:val="Akapitzlist"/>
        <w:numPr>
          <w:ilvl w:val="0"/>
          <w:numId w:val="27"/>
        </w:numPr>
        <w:spacing w:after="120"/>
        <w:rPr>
          <w:lang w:eastAsia="pl-PL"/>
        </w:rPr>
      </w:pPr>
      <w:r w:rsidRPr="005A6268">
        <w:t>zakup i rozpowszechnianie materiałów informacyjn</w:t>
      </w:r>
      <w:r w:rsidR="0044523F">
        <w:t xml:space="preserve">ych, promocyjnych,  związanych </w:t>
      </w:r>
      <w:r w:rsidRPr="005A6268">
        <w:t>z wymianą;</w:t>
      </w:r>
    </w:p>
    <w:p w:rsidR="00706991" w:rsidRPr="005A6268" w:rsidRDefault="00706991" w:rsidP="00F416E0">
      <w:pPr>
        <w:pStyle w:val="Akapitzlist"/>
        <w:numPr>
          <w:ilvl w:val="0"/>
          <w:numId w:val="27"/>
        </w:numPr>
        <w:spacing w:after="120"/>
        <w:rPr>
          <w:lang w:eastAsia="pl-PL"/>
        </w:rPr>
      </w:pPr>
      <w:r w:rsidRPr="005A6268">
        <w:t>wizyty przygotowawcze w celu nawiązania w</w:t>
      </w:r>
      <w:r w:rsidR="0044523F">
        <w:t xml:space="preserve">spółpracy z nowymi uczelniami, </w:t>
      </w:r>
      <w:r w:rsidRPr="005A6268">
        <w:t>z którymi dotychczas uczelnia nie podpisała umowy o wymianie studentów/nauczycieli na danym kierunku studiów;</w:t>
      </w:r>
    </w:p>
    <w:p w:rsidR="00706991" w:rsidRPr="005A6268" w:rsidRDefault="00706991" w:rsidP="00F416E0">
      <w:pPr>
        <w:pStyle w:val="Akapitzlist"/>
        <w:numPr>
          <w:ilvl w:val="0"/>
          <w:numId w:val="27"/>
        </w:numPr>
        <w:spacing w:after="120"/>
        <w:rPr>
          <w:lang w:eastAsia="pl-PL"/>
        </w:rPr>
      </w:pPr>
      <w:r w:rsidRPr="005A6268">
        <w:t>wizyty monitoringowe w celu dokonania oc</w:t>
      </w:r>
      <w:r w:rsidR="0044523F">
        <w:t xml:space="preserve">eny postępów w nauce studentów </w:t>
      </w:r>
      <w:r w:rsidRPr="005A6268">
        <w:t>i poznania warunków studiów w uczelni partnerskiej;</w:t>
      </w:r>
    </w:p>
    <w:p w:rsidR="00706991" w:rsidRPr="005A6268" w:rsidRDefault="00706991" w:rsidP="00F416E0">
      <w:pPr>
        <w:pStyle w:val="Akapitzlist"/>
        <w:numPr>
          <w:ilvl w:val="0"/>
          <w:numId w:val="27"/>
        </w:numPr>
        <w:spacing w:after="120"/>
        <w:rPr>
          <w:lang w:eastAsia="pl-PL"/>
        </w:rPr>
      </w:pPr>
      <w:r w:rsidRPr="005A6268">
        <w:t>inne działania administracyjne.</w:t>
      </w:r>
    </w:p>
    <w:p w:rsidR="00706991" w:rsidRPr="005A6268" w:rsidRDefault="00706991" w:rsidP="00F416E0">
      <w:pPr>
        <w:spacing w:after="120"/>
      </w:pPr>
      <w:r w:rsidRPr="005A6268">
        <w:t>W przypadku wyjazdów realizowanych w ramach organizacji wymiany obowiązują przepisy krajowe oraz przepisy wewnętrzne, przyjęte w UPH.</w:t>
      </w:r>
    </w:p>
    <w:p w:rsidR="00706991" w:rsidRPr="005A6268" w:rsidRDefault="00706991" w:rsidP="00F416E0">
      <w:pPr>
        <w:spacing w:after="120"/>
        <w:rPr>
          <w:lang w:eastAsia="pl-PL"/>
        </w:rPr>
      </w:pPr>
      <w:r w:rsidRPr="005A6268">
        <w:rPr>
          <w:lang w:eastAsia="pl-PL"/>
        </w:rPr>
        <w:t>Rektor</w:t>
      </w:r>
    </w:p>
    <w:p w:rsidR="00706991" w:rsidRPr="005A6268" w:rsidRDefault="00706991" w:rsidP="00F416E0">
      <w:pPr>
        <w:spacing w:after="120"/>
        <w:rPr>
          <w:lang w:eastAsia="pl-PL"/>
        </w:rPr>
      </w:pPr>
      <w:r w:rsidRPr="005A6268">
        <w:rPr>
          <w:lang w:eastAsia="pl-PL"/>
        </w:rPr>
        <w:t xml:space="preserve">dr hab. Tamara </w:t>
      </w:r>
      <w:proofErr w:type="spellStart"/>
      <w:r w:rsidRPr="005A6268">
        <w:rPr>
          <w:lang w:eastAsia="pl-PL"/>
        </w:rPr>
        <w:t>Zacharuk</w:t>
      </w:r>
      <w:proofErr w:type="spellEnd"/>
    </w:p>
    <w:p w:rsidR="00800552" w:rsidRPr="005A6268" w:rsidRDefault="00706991" w:rsidP="00F416E0">
      <w:pPr>
        <w:spacing w:after="120"/>
        <w:rPr>
          <w:lang w:eastAsia="pl-PL"/>
        </w:rPr>
      </w:pPr>
      <w:r w:rsidRPr="005A6268">
        <w:rPr>
          <w:lang w:eastAsia="pl-PL"/>
        </w:rPr>
        <w:t>profesor nadzwyczajny</w:t>
      </w:r>
    </w:p>
    <w:sectPr w:rsidR="00800552" w:rsidRPr="005A6268" w:rsidSect="004E3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A37"/>
    <w:multiLevelType w:val="hybridMultilevel"/>
    <w:tmpl w:val="D5CC8FC4"/>
    <w:lvl w:ilvl="0" w:tplc="0415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1">
    <w:nsid w:val="0B8E0965"/>
    <w:multiLevelType w:val="hybridMultilevel"/>
    <w:tmpl w:val="13086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24903"/>
    <w:multiLevelType w:val="hybridMultilevel"/>
    <w:tmpl w:val="55AE8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B188D"/>
    <w:multiLevelType w:val="hybridMultilevel"/>
    <w:tmpl w:val="553C319C"/>
    <w:lvl w:ilvl="0" w:tplc="D27A4B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trike w:val="0"/>
        <w:dstrike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BE61E8"/>
    <w:multiLevelType w:val="hybridMultilevel"/>
    <w:tmpl w:val="6CD48E8A"/>
    <w:lvl w:ilvl="0" w:tplc="D78806BE">
      <w:start w:val="5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23F00DE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sz w:val="22"/>
        <w:szCs w:val="22"/>
      </w:rPr>
    </w:lvl>
    <w:lvl w:ilvl="2" w:tplc="046E51E0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E0D4A17C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6F514E"/>
    <w:multiLevelType w:val="hybridMultilevel"/>
    <w:tmpl w:val="D50E1A2E"/>
    <w:lvl w:ilvl="0" w:tplc="B7442B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1D33D7"/>
    <w:multiLevelType w:val="hybridMultilevel"/>
    <w:tmpl w:val="19DA4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A4D0B"/>
    <w:multiLevelType w:val="hybridMultilevel"/>
    <w:tmpl w:val="A9C44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017EE"/>
    <w:multiLevelType w:val="hybridMultilevel"/>
    <w:tmpl w:val="D78E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16849"/>
    <w:multiLevelType w:val="hybridMultilevel"/>
    <w:tmpl w:val="0CC43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24175"/>
    <w:multiLevelType w:val="hybridMultilevel"/>
    <w:tmpl w:val="DBD03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D4311"/>
    <w:multiLevelType w:val="hybridMultilevel"/>
    <w:tmpl w:val="BDB42F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3B13A4"/>
    <w:multiLevelType w:val="hybridMultilevel"/>
    <w:tmpl w:val="609EFA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56AF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1E77D9"/>
    <w:multiLevelType w:val="hybridMultilevel"/>
    <w:tmpl w:val="C6600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FCE97A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32ADE"/>
    <w:multiLevelType w:val="hybridMultilevel"/>
    <w:tmpl w:val="0D561062"/>
    <w:lvl w:ilvl="0" w:tplc="039E21F2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69867E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b w:val="0"/>
        <w:sz w:val="22"/>
        <w:szCs w:val="22"/>
      </w:rPr>
    </w:lvl>
    <w:lvl w:ilvl="2" w:tplc="A6C43C5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EF2CF58C">
      <w:start w:val="1"/>
      <w:numFmt w:val="lowerLetter"/>
      <w:lvlText w:val="%4)"/>
      <w:lvlJc w:val="left"/>
      <w:pPr>
        <w:tabs>
          <w:tab w:val="num" w:pos="1060"/>
        </w:tabs>
        <w:ind w:left="1060" w:hanging="340"/>
      </w:pPr>
      <w:rPr>
        <w:rFonts w:cs="Times New Roman" w:hint="default"/>
      </w:rPr>
    </w:lvl>
    <w:lvl w:ilvl="4" w:tplc="0DB2E8C6">
      <w:start w:val="5"/>
      <w:numFmt w:val="decimal"/>
      <w:lvlText w:val="%5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1BE59CA"/>
    <w:multiLevelType w:val="hybridMultilevel"/>
    <w:tmpl w:val="EB12A222"/>
    <w:lvl w:ilvl="0" w:tplc="C9A2C502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8B641A"/>
    <w:multiLevelType w:val="hybridMultilevel"/>
    <w:tmpl w:val="27006FAA"/>
    <w:lvl w:ilvl="0" w:tplc="0415000F">
      <w:start w:val="1"/>
      <w:numFmt w:val="decimal"/>
      <w:lvlText w:val="%1."/>
      <w:lvlJc w:val="left"/>
      <w:pPr>
        <w:ind w:left="1159" w:hanging="360"/>
      </w:pPr>
    </w:lvl>
    <w:lvl w:ilvl="1" w:tplc="04150019" w:tentative="1">
      <w:start w:val="1"/>
      <w:numFmt w:val="lowerLetter"/>
      <w:lvlText w:val="%2."/>
      <w:lvlJc w:val="left"/>
      <w:pPr>
        <w:ind w:left="1879" w:hanging="360"/>
      </w:pPr>
    </w:lvl>
    <w:lvl w:ilvl="2" w:tplc="0415001B" w:tentative="1">
      <w:start w:val="1"/>
      <w:numFmt w:val="lowerRoman"/>
      <w:lvlText w:val="%3."/>
      <w:lvlJc w:val="right"/>
      <w:pPr>
        <w:ind w:left="2599" w:hanging="180"/>
      </w:pPr>
    </w:lvl>
    <w:lvl w:ilvl="3" w:tplc="0415000F" w:tentative="1">
      <w:start w:val="1"/>
      <w:numFmt w:val="decimal"/>
      <w:lvlText w:val="%4."/>
      <w:lvlJc w:val="left"/>
      <w:pPr>
        <w:ind w:left="3319" w:hanging="360"/>
      </w:pPr>
    </w:lvl>
    <w:lvl w:ilvl="4" w:tplc="04150019" w:tentative="1">
      <w:start w:val="1"/>
      <w:numFmt w:val="lowerLetter"/>
      <w:lvlText w:val="%5."/>
      <w:lvlJc w:val="left"/>
      <w:pPr>
        <w:ind w:left="4039" w:hanging="360"/>
      </w:pPr>
    </w:lvl>
    <w:lvl w:ilvl="5" w:tplc="0415001B" w:tentative="1">
      <w:start w:val="1"/>
      <w:numFmt w:val="lowerRoman"/>
      <w:lvlText w:val="%6."/>
      <w:lvlJc w:val="right"/>
      <w:pPr>
        <w:ind w:left="4759" w:hanging="180"/>
      </w:pPr>
    </w:lvl>
    <w:lvl w:ilvl="6" w:tplc="0415000F" w:tentative="1">
      <w:start w:val="1"/>
      <w:numFmt w:val="decimal"/>
      <w:lvlText w:val="%7."/>
      <w:lvlJc w:val="left"/>
      <w:pPr>
        <w:ind w:left="5479" w:hanging="360"/>
      </w:pPr>
    </w:lvl>
    <w:lvl w:ilvl="7" w:tplc="04150019" w:tentative="1">
      <w:start w:val="1"/>
      <w:numFmt w:val="lowerLetter"/>
      <w:lvlText w:val="%8."/>
      <w:lvlJc w:val="left"/>
      <w:pPr>
        <w:ind w:left="6199" w:hanging="360"/>
      </w:pPr>
    </w:lvl>
    <w:lvl w:ilvl="8" w:tplc="0415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7">
    <w:nsid w:val="47CD3B9D"/>
    <w:multiLevelType w:val="hybridMultilevel"/>
    <w:tmpl w:val="E0281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04E26"/>
    <w:multiLevelType w:val="hybridMultilevel"/>
    <w:tmpl w:val="96F6F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10968"/>
    <w:multiLevelType w:val="hybridMultilevel"/>
    <w:tmpl w:val="AAB6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7EE402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97003"/>
    <w:multiLevelType w:val="hybridMultilevel"/>
    <w:tmpl w:val="FE42C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12B2D"/>
    <w:multiLevelType w:val="hybridMultilevel"/>
    <w:tmpl w:val="53D8E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B46F2"/>
    <w:multiLevelType w:val="hybridMultilevel"/>
    <w:tmpl w:val="07324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27E87"/>
    <w:multiLevelType w:val="hybridMultilevel"/>
    <w:tmpl w:val="987C78D2"/>
    <w:lvl w:ilvl="0" w:tplc="1CB4A23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99664FCC">
      <w:start w:val="4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  <w:b w:val="0"/>
      </w:rPr>
    </w:lvl>
    <w:lvl w:ilvl="2" w:tplc="2612ECFE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DCA06E68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B4A6E8F4">
      <w:start w:val="9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0D43C36"/>
    <w:multiLevelType w:val="hybridMultilevel"/>
    <w:tmpl w:val="BE263D3E"/>
    <w:lvl w:ilvl="0" w:tplc="C83417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F5C7B"/>
    <w:multiLevelType w:val="hybridMultilevel"/>
    <w:tmpl w:val="5DECC486"/>
    <w:lvl w:ilvl="0" w:tplc="0415000F">
      <w:start w:val="1"/>
      <w:numFmt w:val="decimal"/>
      <w:lvlText w:val="%1."/>
      <w:lvlJc w:val="left"/>
      <w:pPr>
        <w:ind w:left="2239" w:hanging="360"/>
      </w:pPr>
    </w:lvl>
    <w:lvl w:ilvl="1" w:tplc="04150019" w:tentative="1">
      <w:start w:val="1"/>
      <w:numFmt w:val="lowerLetter"/>
      <w:lvlText w:val="%2."/>
      <w:lvlJc w:val="left"/>
      <w:pPr>
        <w:ind w:left="2959" w:hanging="360"/>
      </w:pPr>
    </w:lvl>
    <w:lvl w:ilvl="2" w:tplc="0415001B" w:tentative="1">
      <w:start w:val="1"/>
      <w:numFmt w:val="lowerRoman"/>
      <w:lvlText w:val="%3."/>
      <w:lvlJc w:val="right"/>
      <w:pPr>
        <w:ind w:left="3679" w:hanging="180"/>
      </w:pPr>
    </w:lvl>
    <w:lvl w:ilvl="3" w:tplc="0415000F" w:tentative="1">
      <w:start w:val="1"/>
      <w:numFmt w:val="decimal"/>
      <w:lvlText w:val="%4."/>
      <w:lvlJc w:val="left"/>
      <w:pPr>
        <w:ind w:left="4399" w:hanging="360"/>
      </w:pPr>
    </w:lvl>
    <w:lvl w:ilvl="4" w:tplc="04150019" w:tentative="1">
      <w:start w:val="1"/>
      <w:numFmt w:val="lowerLetter"/>
      <w:lvlText w:val="%5."/>
      <w:lvlJc w:val="left"/>
      <w:pPr>
        <w:ind w:left="5119" w:hanging="360"/>
      </w:pPr>
    </w:lvl>
    <w:lvl w:ilvl="5" w:tplc="0415001B" w:tentative="1">
      <w:start w:val="1"/>
      <w:numFmt w:val="lowerRoman"/>
      <w:lvlText w:val="%6."/>
      <w:lvlJc w:val="right"/>
      <w:pPr>
        <w:ind w:left="5839" w:hanging="180"/>
      </w:pPr>
    </w:lvl>
    <w:lvl w:ilvl="6" w:tplc="0415000F" w:tentative="1">
      <w:start w:val="1"/>
      <w:numFmt w:val="decimal"/>
      <w:lvlText w:val="%7."/>
      <w:lvlJc w:val="left"/>
      <w:pPr>
        <w:ind w:left="6559" w:hanging="360"/>
      </w:pPr>
    </w:lvl>
    <w:lvl w:ilvl="7" w:tplc="04150019" w:tentative="1">
      <w:start w:val="1"/>
      <w:numFmt w:val="lowerLetter"/>
      <w:lvlText w:val="%8."/>
      <w:lvlJc w:val="left"/>
      <w:pPr>
        <w:ind w:left="7279" w:hanging="360"/>
      </w:pPr>
    </w:lvl>
    <w:lvl w:ilvl="8" w:tplc="0415001B" w:tentative="1">
      <w:start w:val="1"/>
      <w:numFmt w:val="lowerRoman"/>
      <w:lvlText w:val="%9."/>
      <w:lvlJc w:val="right"/>
      <w:pPr>
        <w:ind w:left="7999" w:hanging="180"/>
      </w:pPr>
    </w:lvl>
  </w:abstractNum>
  <w:abstractNum w:abstractNumId="26">
    <w:nsid w:val="793D6045"/>
    <w:multiLevelType w:val="hybridMultilevel"/>
    <w:tmpl w:val="7CF69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5055C"/>
    <w:multiLevelType w:val="hybridMultilevel"/>
    <w:tmpl w:val="98849D44"/>
    <w:lvl w:ilvl="0" w:tplc="A75637D2">
      <w:start w:val="1"/>
      <w:numFmt w:val="decimal"/>
      <w:lvlText w:val="%1."/>
      <w:lvlJc w:val="left"/>
      <w:pPr>
        <w:ind w:left="79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num w:numId="1">
    <w:abstractNumId w:val="15"/>
  </w:num>
  <w:num w:numId="2">
    <w:abstractNumId w:val="24"/>
  </w:num>
  <w:num w:numId="3">
    <w:abstractNumId w:val="3"/>
  </w:num>
  <w:num w:numId="4">
    <w:abstractNumId w:val="27"/>
  </w:num>
  <w:num w:numId="5">
    <w:abstractNumId w:val="5"/>
  </w:num>
  <w:num w:numId="6">
    <w:abstractNumId w:val="11"/>
  </w:num>
  <w:num w:numId="7">
    <w:abstractNumId w:val="10"/>
  </w:num>
  <w:num w:numId="8">
    <w:abstractNumId w:val="14"/>
  </w:num>
  <w:num w:numId="9">
    <w:abstractNumId w:val="16"/>
  </w:num>
  <w:num w:numId="10">
    <w:abstractNumId w:val="0"/>
  </w:num>
  <w:num w:numId="11">
    <w:abstractNumId w:val="25"/>
  </w:num>
  <w:num w:numId="12">
    <w:abstractNumId w:val="21"/>
  </w:num>
  <w:num w:numId="13">
    <w:abstractNumId w:val="19"/>
  </w:num>
  <w:num w:numId="14">
    <w:abstractNumId w:val="13"/>
  </w:num>
  <w:num w:numId="15">
    <w:abstractNumId w:val="17"/>
  </w:num>
  <w:num w:numId="16">
    <w:abstractNumId w:val="23"/>
  </w:num>
  <w:num w:numId="17">
    <w:abstractNumId w:val="9"/>
  </w:num>
  <w:num w:numId="18">
    <w:abstractNumId w:val="4"/>
  </w:num>
  <w:num w:numId="19">
    <w:abstractNumId w:val="6"/>
  </w:num>
  <w:num w:numId="20">
    <w:abstractNumId w:val="8"/>
  </w:num>
  <w:num w:numId="21">
    <w:abstractNumId w:val="7"/>
  </w:num>
  <w:num w:numId="22">
    <w:abstractNumId w:val="1"/>
  </w:num>
  <w:num w:numId="23">
    <w:abstractNumId w:val="22"/>
  </w:num>
  <w:num w:numId="24">
    <w:abstractNumId w:val="20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8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12F0"/>
    <w:rsid w:val="00026D55"/>
    <w:rsid w:val="000A5E79"/>
    <w:rsid w:val="000C61E4"/>
    <w:rsid w:val="000F3F63"/>
    <w:rsid w:val="00102FA1"/>
    <w:rsid w:val="0011637A"/>
    <w:rsid w:val="00165456"/>
    <w:rsid w:val="001C4A12"/>
    <w:rsid w:val="002A4DFB"/>
    <w:rsid w:val="004451B3"/>
    <w:rsid w:val="0044523F"/>
    <w:rsid w:val="004467C2"/>
    <w:rsid w:val="00481786"/>
    <w:rsid w:val="004912F0"/>
    <w:rsid w:val="004E3014"/>
    <w:rsid w:val="0055027C"/>
    <w:rsid w:val="005A6268"/>
    <w:rsid w:val="0061279D"/>
    <w:rsid w:val="006366AF"/>
    <w:rsid w:val="0067541F"/>
    <w:rsid w:val="006755A7"/>
    <w:rsid w:val="00706991"/>
    <w:rsid w:val="00722024"/>
    <w:rsid w:val="00794FE6"/>
    <w:rsid w:val="00800552"/>
    <w:rsid w:val="0080592E"/>
    <w:rsid w:val="00936548"/>
    <w:rsid w:val="00A1695C"/>
    <w:rsid w:val="00A97AEE"/>
    <w:rsid w:val="00AA75EA"/>
    <w:rsid w:val="00AB6B56"/>
    <w:rsid w:val="00AC30CB"/>
    <w:rsid w:val="00B911A9"/>
    <w:rsid w:val="00B93F2C"/>
    <w:rsid w:val="00BD6A29"/>
    <w:rsid w:val="00BD7AD9"/>
    <w:rsid w:val="00DB0FAA"/>
    <w:rsid w:val="00E605D0"/>
    <w:rsid w:val="00ED3DD8"/>
    <w:rsid w:val="00EE05F8"/>
    <w:rsid w:val="00F12786"/>
    <w:rsid w:val="00F416E0"/>
    <w:rsid w:val="00F5623A"/>
    <w:rsid w:val="00FE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before="240" w:after="24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014"/>
  </w:style>
  <w:style w:type="paragraph" w:styleId="Nagwek1">
    <w:name w:val="heading 1"/>
    <w:basedOn w:val="Normalny"/>
    <w:next w:val="Normalny"/>
    <w:link w:val="Nagwek1Znak"/>
    <w:qFormat/>
    <w:rsid w:val="004912F0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61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1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93F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93F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93F2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93F2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12F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4912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istParagraph1">
    <w:name w:val="List Paragraph1"/>
    <w:basedOn w:val="Normalny"/>
    <w:uiPriority w:val="99"/>
    <w:rsid w:val="004912F0"/>
    <w:pPr>
      <w:ind w:left="720" w:hanging="357"/>
      <w:contextualSpacing/>
      <w:jc w:val="both"/>
    </w:pPr>
    <w:rPr>
      <w:rFonts w:eastAsia="Calibri"/>
      <w:lang w:eastAsia="pl-PL"/>
    </w:rPr>
  </w:style>
  <w:style w:type="paragraph" w:styleId="Akapitzlist">
    <w:name w:val="List Paragraph"/>
    <w:basedOn w:val="Normalny"/>
    <w:uiPriority w:val="99"/>
    <w:qFormat/>
    <w:rsid w:val="004912F0"/>
    <w:pPr>
      <w:ind w:left="720"/>
      <w:contextualSpacing/>
    </w:pPr>
  </w:style>
  <w:style w:type="paragraph" w:customStyle="1" w:styleId="Default">
    <w:name w:val="Default"/>
    <w:rsid w:val="004912F0"/>
    <w:pPr>
      <w:autoSpaceDE w:val="0"/>
      <w:autoSpaceDN w:val="0"/>
      <w:adjustRightInd w:val="0"/>
      <w:ind w:left="357" w:hanging="357"/>
      <w:jc w:val="both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8178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C61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C61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6755A7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755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4Znak">
    <w:name w:val="Nagłówek 4 Znak"/>
    <w:basedOn w:val="Domylnaczcionkaakapitu"/>
    <w:link w:val="Nagwek4"/>
    <w:uiPriority w:val="9"/>
    <w:rsid w:val="00B93F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B93F2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B93F2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B93F2C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2597</Words>
  <Characters>15588</Characters>
  <Application>Microsoft Office Word</Application>
  <DocSecurity>0</DocSecurity>
  <Lines>129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Akcja 1. Rekrutacja i finansowanie wyjazdów w ramach Erasmus + w 2020/2021 </vt:lpstr>
      <vt:lpstr>    Wyjazdy pracowników uczelni w celach szkoleniowych</vt:lpstr>
      <vt:lpstr>        Rekrutacja</vt:lpstr>
    </vt:vector>
  </TitlesOfParts>
  <Company/>
  <LinksUpToDate>false</LinksUpToDate>
  <CharactersWithSpaces>18149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Danuta</cp:lastModifiedBy>
  <cp:revision>27</cp:revision>
  <dcterms:created xsi:type="dcterms:W3CDTF">2021-02-23T14:14:00Z</dcterms:created>
  <dcterms:modified xsi:type="dcterms:W3CDTF">2021-03-24T12:00:00Z</dcterms:modified>
</cp:coreProperties>
</file>